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F3B4" w14:textId="3B6E8760" w:rsidR="000023A4" w:rsidRPr="00B32A30" w:rsidRDefault="00FD4605" w:rsidP="000023A4">
      <w:pPr>
        <w:rPr>
          <w:rFonts w:ascii="Times New Roman" w:hAnsi="Times New Roman" w:cs="Times New Roman"/>
          <w:sz w:val="8"/>
          <w:szCs w:val="8"/>
        </w:rPr>
      </w:pPr>
      <w:r w:rsidRPr="00B32A30">
        <w:rPr>
          <w:rFonts w:ascii="Times New Roman" w:hAnsi="Times New Roman" w:cs="Times New Roman"/>
          <w:noProof/>
        </w:rPr>
        <w:drawing>
          <wp:inline distT="0" distB="0" distL="0" distR="0" wp14:anchorId="1A4C2F71" wp14:editId="77C4B30D">
            <wp:extent cx="3486150" cy="400050"/>
            <wp:effectExtent l="0" t="0" r="0" b="0"/>
            <wp:docPr id="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D1330" w14:textId="77777777" w:rsidR="000023A4" w:rsidRPr="00B32A30" w:rsidRDefault="000023A4" w:rsidP="000023A4">
      <w:pPr>
        <w:rPr>
          <w:rFonts w:ascii="Times New Roman" w:hAnsi="Times New Roman" w:cs="Times New Roman"/>
          <w:sz w:val="8"/>
          <w:szCs w:val="8"/>
        </w:rPr>
      </w:pPr>
    </w:p>
    <w:p w14:paraId="4725E743" w14:textId="77777777" w:rsidR="000023A4" w:rsidRPr="00B32A30" w:rsidRDefault="000023A4" w:rsidP="000023A4">
      <w:pPr>
        <w:rPr>
          <w:rFonts w:ascii="Times New Roman" w:hAnsi="Times New Roman" w:cs="Times New Roman"/>
        </w:rPr>
      </w:pPr>
    </w:p>
    <w:p w14:paraId="40CE006C" w14:textId="77777777" w:rsidR="006406D7" w:rsidRPr="00B32A30" w:rsidRDefault="006406D7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14:paraId="3451F8CE" w14:textId="07828576" w:rsidR="00FD4605" w:rsidRPr="00B32A30" w:rsidRDefault="00FD4605" w:rsidP="00FD4605">
      <w:pPr>
        <w:widowControl/>
        <w:autoSpaceDE/>
        <w:autoSpaceDN/>
        <w:spacing w:line="278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Tax Policy on the Tax</w:t>
      </w:r>
      <w:r w:rsidR="004704C5"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-F</w:t>
      </w:r>
      <w:r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ree</w:t>
      </w:r>
      <w:r w:rsidR="004704C5"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Reimbursement of </w:t>
      </w:r>
      <w:r w:rsidR="00FC76F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Interview</w:t>
      </w:r>
      <w:r w:rsidR="001B0DB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-</w:t>
      </w:r>
      <w:r w:rsidR="00FC76F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Candidates</w:t>
      </w:r>
      <w:r w:rsidR="0050043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Travel</w:t>
      </w:r>
      <w:r w:rsidR="00FC76F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, including their Families</w:t>
      </w:r>
      <w:r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and Dependent</w:t>
      </w:r>
      <w:r w:rsidR="001B0DB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s</w:t>
      </w:r>
      <w:r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During the Interview Process</w:t>
      </w:r>
      <w:r w:rsidRPr="00B32A30">
        <w:rPr>
          <w:rStyle w:val="FootnoteReference"/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footnoteReference w:id="1"/>
      </w:r>
    </w:p>
    <w:p w14:paraId="27C35F23" w14:textId="316972B7" w:rsidR="00FD4605" w:rsidRPr="00B32A30" w:rsidRDefault="00FD4605" w:rsidP="00FD46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ab/>
        <w:t>Overview</w:t>
      </w:r>
    </w:p>
    <w:p w14:paraId="0D259C02" w14:textId="62A1CF00" w:rsidR="00FD4605" w:rsidRPr="00B32A30" w:rsidRDefault="00FD4605" w:rsidP="00FD4605">
      <w:p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ab/>
        <w:t>General Rule</w:t>
      </w:r>
    </w:p>
    <w:p w14:paraId="76DEA77B" w14:textId="52882920" w:rsidR="00FD4605" w:rsidRPr="00B32A30" w:rsidRDefault="00FD4605" w:rsidP="00FD46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704C5" w:rsidRPr="00B32A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04C5" w:rsidRPr="00B32A30">
        <w:rPr>
          <w:rFonts w:ascii="Times New Roman" w:hAnsi="Times New Roman" w:cs="Times New Roman"/>
          <w:b/>
          <w:bCs/>
          <w:sz w:val="24"/>
          <w:szCs w:val="24"/>
        </w:rPr>
        <w:t>Substantiation Requirements</w:t>
      </w:r>
    </w:p>
    <w:p w14:paraId="6B4416AA" w14:textId="25448A11" w:rsidR="00FD4605" w:rsidRPr="00B32A30" w:rsidRDefault="00031699" w:rsidP="00FD46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FD4605" w:rsidRPr="00B32A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4605" w:rsidRPr="00B32A30">
        <w:rPr>
          <w:rFonts w:ascii="Times New Roman" w:hAnsi="Times New Roman" w:cs="Times New Roman"/>
          <w:b/>
          <w:bCs/>
          <w:sz w:val="24"/>
          <w:szCs w:val="24"/>
        </w:rPr>
        <w:tab/>
        <w:t>Pre-</w:t>
      </w:r>
      <w:r w:rsidR="00B32A3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D4605" w:rsidRPr="00B32A30">
        <w:rPr>
          <w:rFonts w:ascii="Times New Roman" w:hAnsi="Times New Roman" w:cs="Times New Roman"/>
          <w:b/>
          <w:bCs/>
          <w:sz w:val="24"/>
          <w:szCs w:val="24"/>
        </w:rPr>
        <w:t xml:space="preserve">rip </w:t>
      </w:r>
      <w:r w:rsidR="00B32A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D4605" w:rsidRPr="00B32A30">
        <w:rPr>
          <w:rFonts w:ascii="Times New Roman" w:hAnsi="Times New Roman" w:cs="Times New Roman"/>
          <w:b/>
          <w:bCs/>
          <w:sz w:val="24"/>
          <w:szCs w:val="24"/>
        </w:rPr>
        <w:t>ssistance</w:t>
      </w:r>
    </w:p>
    <w:p w14:paraId="395A0A7A" w14:textId="77777777" w:rsidR="006406D7" w:rsidRPr="00B32A30" w:rsidRDefault="006406D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2C646C6" w14:textId="77777777" w:rsidR="00FD4605" w:rsidRPr="00B32A30" w:rsidRDefault="00FD4605" w:rsidP="00FD46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ab/>
        <w:t>Overview</w:t>
      </w:r>
    </w:p>
    <w:p w14:paraId="7E03F2C8" w14:textId="77777777" w:rsidR="00FD4605" w:rsidRPr="00B32A30" w:rsidRDefault="00FD4605" w:rsidP="00FD4605">
      <w:pPr>
        <w:spacing w:line="276" w:lineRule="auto"/>
        <w:ind w:left="720" w:right="114"/>
        <w:rPr>
          <w:rFonts w:ascii="Times New Roman" w:hAnsi="Times New Roman" w:cs="Times New Roman"/>
          <w:sz w:val="24"/>
          <w:szCs w:val="24"/>
        </w:rPr>
      </w:pPr>
    </w:p>
    <w:p w14:paraId="41F2B3F7" w14:textId="0CAB4CDC" w:rsidR="00FD4605" w:rsidRPr="00B32A30" w:rsidRDefault="001B0DB5" w:rsidP="00FD4605">
      <w:pPr>
        <w:spacing w:line="276" w:lineRule="auto"/>
        <w:ind w:left="720" w:right="11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Schools, colleges and units (SCU) may reimburse t</w:t>
      </w:r>
      <w:r w:rsidR="00FC76F5">
        <w:rPr>
          <w:rFonts w:ascii="Times New Roman" w:hAnsi="Times New Roman" w:cs="Times New Roman"/>
          <w:sz w:val="24"/>
          <w:szCs w:val="24"/>
        </w:rPr>
        <w:t>ravel expenses incurred by interview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76F5">
        <w:rPr>
          <w:rFonts w:ascii="Times New Roman" w:hAnsi="Times New Roman" w:cs="Times New Roman"/>
          <w:sz w:val="24"/>
          <w:szCs w:val="24"/>
        </w:rPr>
        <w:t xml:space="preserve"> candidates </w:t>
      </w:r>
      <w:r>
        <w:rPr>
          <w:rFonts w:ascii="Times New Roman" w:hAnsi="Times New Roman" w:cs="Times New Roman"/>
          <w:sz w:val="24"/>
          <w:szCs w:val="24"/>
        </w:rPr>
        <w:t xml:space="preserve">on a tax-free basis. </w:t>
      </w:r>
      <w:r w:rsidR="007B2D6A">
        <w:rPr>
          <w:rFonts w:ascii="Times New Roman" w:hAnsi="Times New Roman" w:cs="Times New Roman"/>
          <w:sz w:val="24"/>
          <w:szCs w:val="24"/>
        </w:rPr>
        <w:t>The reason is that it</w:t>
      </w:r>
      <w:r>
        <w:rPr>
          <w:rFonts w:ascii="Times New Roman" w:hAnsi="Times New Roman" w:cs="Times New Roman"/>
          <w:sz w:val="24"/>
          <w:szCs w:val="24"/>
        </w:rPr>
        <w:t xml:space="preserve"> is inherently underst</w:t>
      </w:r>
      <w:r w:rsidR="00842074">
        <w:rPr>
          <w:rFonts w:ascii="Times New Roman" w:hAnsi="Times New Roman" w:cs="Times New Roman"/>
          <w:sz w:val="24"/>
          <w:szCs w:val="24"/>
        </w:rPr>
        <w:t>ood</w:t>
      </w:r>
      <w:r>
        <w:rPr>
          <w:rFonts w:ascii="Times New Roman" w:hAnsi="Times New Roman" w:cs="Times New Roman"/>
          <w:sz w:val="24"/>
          <w:szCs w:val="24"/>
        </w:rPr>
        <w:t xml:space="preserve"> that a business purpose is served because the candidate is a prospective employee who is interviewing at the invitation of the University of Michigan (U-M). </w:t>
      </w:r>
      <w:r w:rsidR="00A72E96" w:rsidRPr="00A72E96">
        <w:rPr>
          <w:rFonts w:ascii="Times New Roman" w:hAnsi="Times New Roman" w:cs="Times New Roman"/>
          <w:sz w:val="24"/>
          <w:szCs w:val="24"/>
        </w:rPr>
        <w:t>Family members</w:t>
      </w:r>
      <w:r w:rsidR="00E418EF">
        <w:rPr>
          <w:rFonts w:ascii="Times New Roman" w:hAnsi="Times New Roman" w:cs="Times New Roman"/>
          <w:sz w:val="24"/>
          <w:szCs w:val="24"/>
        </w:rPr>
        <w:t>, including partners,</w:t>
      </w:r>
      <w:r w:rsidR="00A72E96" w:rsidRPr="00A72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dependents who </w:t>
      </w:r>
      <w:r w:rsidR="00A72E96" w:rsidRPr="00A72E96">
        <w:rPr>
          <w:rFonts w:ascii="Times New Roman" w:hAnsi="Times New Roman" w:cs="Times New Roman"/>
          <w:sz w:val="24"/>
          <w:szCs w:val="24"/>
        </w:rPr>
        <w:t xml:space="preserve">accompany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72E96" w:rsidRPr="00A72E96">
        <w:rPr>
          <w:rFonts w:ascii="Times New Roman" w:hAnsi="Times New Roman" w:cs="Times New Roman"/>
          <w:sz w:val="24"/>
          <w:szCs w:val="24"/>
        </w:rPr>
        <w:t xml:space="preserve">candidates </w:t>
      </w:r>
      <w:r>
        <w:rPr>
          <w:rFonts w:ascii="Times New Roman" w:hAnsi="Times New Roman" w:cs="Times New Roman"/>
          <w:sz w:val="24"/>
          <w:szCs w:val="24"/>
        </w:rPr>
        <w:t xml:space="preserve">may also be reimbursed tax-free </w:t>
      </w:r>
      <w:r w:rsidR="007B2D6A">
        <w:rPr>
          <w:rFonts w:ascii="Times New Roman" w:hAnsi="Times New Roman" w:cs="Times New Roman"/>
          <w:sz w:val="24"/>
          <w:szCs w:val="24"/>
        </w:rPr>
        <w:t xml:space="preserve">for their travel expenses </w:t>
      </w:r>
      <w:r>
        <w:rPr>
          <w:rFonts w:ascii="Times New Roman" w:hAnsi="Times New Roman" w:cs="Times New Roman"/>
          <w:sz w:val="24"/>
          <w:szCs w:val="24"/>
        </w:rPr>
        <w:t xml:space="preserve">however, unlike with the candidates, </w:t>
      </w:r>
      <w:r w:rsidR="00A72E96" w:rsidRPr="00A72E96">
        <w:rPr>
          <w:rFonts w:ascii="Times New Roman" w:hAnsi="Times New Roman" w:cs="Times New Roman"/>
          <w:sz w:val="24"/>
          <w:szCs w:val="24"/>
        </w:rPr>
        <w:t>a clear business purpose must be established.</w:t>
      </w:r>
      <w:r w:rsidR="002F760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28004C" w:rsidRPr="00B32A30">
        <w:rPr>
          <w:rFonts w:ascii="Times New Roman" w:hAnsi="Times New Roman" w:cs="Times New Roman"/>
          <w:sz w:val="24"/>
          <w:szCs w:val="24"/>
        </w:rPr>
        <w:t>.</w:t>
      </w:r>
      <w:r w:rsidR="0028004C" w:rsidRPr="00B32A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4145A1C" w14:textId="77777777" w:rsidR="00FD4605" w:rsidRPr="00B32A30" w:rsidRDefault="00FD4605" w:rsidP="00FD4605">
      <w:pPr>
        <w:spacing w:line="276" w:lineRule="auto"/>
        <w:ind w:left="720" w:right="114"/>
        <w:rPr>
          <w:rFonts w:ascii="Times New Roman" w:hAnsi="Times New Roman" w:cs="Times New Roman"/>
          <w:spacing w:val="-2"/>
          <w:sz w:val="24"/>
          <w:szCs w:val="24"/>
        </w:rPr>
      </w:pPr>
    </w:p>
    <w:p w14:paraId="513A13B3" w14:textId="3622C69D" w:rsidR="00E418EF" w:rsidRDefault="00E4079E" w:rsidP="00FD4605">
      <w:pPr>
        <w:spacing w:line="276" w:lineRule="auto"/>
        <w:ind w:left="720" w:right="114"/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sz w:val="24"/>
          <w:szCs w:val="24"/>
        </w:rPr>
        <w:t>U-M recognizes that family members</w:t>
      </w:r>
      <w:r w:rsidR="007B2D6A">
        <w:rPr>
          <w:rFonts w:ascii="Times New Roman" w:hAnsi="Times New Roman" w:cs="Times New Roman"/>
          <w:sz w:val="24"/>
          <w:szCs w:val="24"/>
        </w:rPr>
        <w:t xml:space="preserve"> and dependents which are defined to include household members</w:t>
      </w:r>
      <w:r w:rsidRPr="00B32A30">
        <w:rPr>
          <w:rFonts w:ascii="Times New Roman" w:hAnsi="Times New Roman" w:cs="Times New Roman"/>
          <w:sz w:val="24"/>
          <w:szCs w:val="24"/>
        </w:rPr>
        <w:t xml:space="preserve"> are as much a part of the decision-making process as the </w:t>
      </w:r>
      <w:r w:rsidR="007B2D6A">
        <w:rPr>
          <w:rFonts w:ascii="Times New Roman" w:hAnsi="Times New Roman" w:cs="Times New Roman"/>
          <w:sz w:val="24"/>
          <w:szCs w:val="24"/>
        </w:rPr>
        <w:t>interview</w:t>
      </w:r>
      <w:r w:rsidRPr="00B32A30">
        <w:rPr>
          <w:rFonts w:ascii="Times New Roman" w:hAnsi="Times New Roman" w:cs="Times New Roman"/>
          <w:sz w:val="24"/>
          <w:szCs w:val="24"/>
        </w:rPr>
        <w:t xml:space="preserve"> </w:t>
      </w:r>
      <w:r w:rsidR="00E418EF">
        <w:rPr>
          <w:rFonts w:ascii="Times New Roman" w:hAnsi="Times New Roman" w:cs="Times New Roman"/>
          <w:sz w:val="24"/>
          <w:szCs w:val="24"/>
        </w:rPr>
        <w:t>candidate</w:t>
      </w:r>
      <w:r w:rsidRPr="00B32A30">
        <w:rPr>
          <w:rFonts w:ascii="Times New Roman" w:hAnsi="Times New Roman" w:cs="Times New Roman"/>
          <w:sz w:val="24"/>
          <w:szCs w:val="24"/>
        </w:rPr>
        <w:t xml:space="preserve"> when it comes to living in their new homes and community</w:t>
      </w:r>
      <w:r w:rsidR="007B2D6A">
        <w:rPr>
          <w:rFonts w:ascii="Times New Roman" w:hAnsi="Times New Roman" w:cs="Times New Roman"/>
          <w:sz w:val="24"/>
          <w:szCs w:val="24"/>
        </w:rPr>
        <w:t xml:space="preserve">. Accordingly, </w:t>
      </w:r>
      <w:r w:rsidRPr="00B32A30">
        <w:rPr>
          <w:rFonts w:ascii="Times New Roman" w:hAnsi="Times New Roman" w:cs="Times New Roman"/>
          <w:sz w:val="24"/>
          <w:szCs w:val="24"/>
        </w:rPr>
        <w:t xml:space="preserve"> </w:t>
      </w:r>
      <w:r w:rsidR="007B2D6A">
        <w:rPr>
          <w:rFonts w:ascii="Times New Roman" w:hAnsi="Times New Roman" w:cs="Times New Roman"/>
          <w:sz w:val="24"/>
          <w:szCs w:val="24"/>
        </w:rPr>
        <w:t>a business purpose is established</w:t>
      </w:r>
      <w:r w:rsidR="00E418EF">
        <w:rPr>
          <w:rFonts w:ascii="Times New Roman" w:hAnsi="Times New Roman" w:cs="Times New Roman"/>
          <w:sz w:val="24"/>
          <w:szCs w:val="24"/>
        </w:rPr>
        <w:t>, meaning U-M will reimburse their travel expenses on a tax-free basis</w:t>
      </w:r>
      <w:r w:rsidR="007B2D6A">
        <w:rPr>
          <w:rFonts w:ascii="Times New Roman" w:hAnsi="Times New Roman" w:cs="Times New Roman"/>
          <w:sz w:val="24"/>
          <w:szCs w:val="24"/>
        </w:rPr>
        <w:t xml:space="preserve"> when </w:t>
      </w:r>
      <w:r w:rsidR="00E418EF">
        <w:rPr>
          <w:rFonts w:ascii="Times New Roman" w:hAnsi="Times New Roman" w:cs="Times New Roman"/>
          <w:sz w:val="24"/>
          <w:szCs w:val="24"/>
        </w:rPr>
        <w:t xml:space="preserve">they travel </w:t>
      </w:r>
      <w:r w:rsidRPr="00B32A30">
        <w:rPr>
          <w:rFonts w:ascii="Times New Roman" w:hAnsi="Times New Roman" w:cs="Times New Roman"/>
          <w:sz w:val="24"/>
          <w:szCs w:val="24"/>
        </w:rPr>
        <w:t xml:space="preserve">for </w:t>
      </w:r>
      <w:r w:rsidR="00E418EF">
        <w:rPr>
          <w:rFonts w:ascii="Times New Roman" w:hAnsi="Times New Roman" w:cs="Times New Roman"/>
          <w:sz w:val="24"/>
          <w:szCs w:val="24"/>
        </w:rPr>
        <w:t xml:space="preserve">the </w:t>
      </w:r>
      <w:r w:rsidRPr="00B32A30">
        <w:rPr>
          <w:rFonts w:ascii="Times New Roman" w:hAnsi="Times New Roman" w:cs="Times New Roman"/>
          <w:sz w:val="24"/>
          <w:szCs w:val="24"/>
        </w:rPr>
        <w:t>final</w:t>
      </w:r>
      <w:r w:rsidR="00C92EAB">
        <w:rPr>
          <w:rFonts w:ascii="Times New Roman" w:hAnsi="Times New Roman" w:cs="Times New Roman"/>
          <w:sz w:val="24"/>
          <w:szCs w:val="24"/>
        </w:rPr>
        <w:t xml:space="preserve"> </w:t>
      </w:r>
      <w:r w:rsidRPr="00B32A30">
        <w:rPr>
          <w:rFonts w:ascii="Times New Roman" w:hAnsi="Times New Roman" w:cs="Times New Roman"/>
          <w:sz w:val="24"/>
          <w:szCs w:val="24"/>
        </w:rPr>
        <w:t xml:space="preserve">interview even when </w:t>
      </w:r>
      <w:r w:rsidR="007B2D6A">
        <w:rPr>
          <w:rFonts w:ascii="Times New Roman" w:hAnsi="Times New Roman" w:cs="Times New Roman"/>
          <w:sz w:val="24"/>
          <w:szCs w:val="24"/>
        </w:rPr>
        <w:t>the</w:t>
      </w:r>
      <w:r w:rsidR="00E418EF">
        <w:rPr>
          <w:rFonts w:ascii="Times New Roman" w:hAnsi="Times New Roman" w:cs="Times New Roman"/>
          <w:sz w:val="24"/>
          <w:szCs w:val="24"/>
        </w:rPr>
        <w:t>y</w:t>
      </w:r>
      <w:r w:rsidR="007B2D6A">
        <w:rPr>
          <w:rFonts w:ascii="Times New Roman" w:hAnsi="Times New Roman" w:cs="Times New Roman"/>
          <w:sz w:val="24"/>
          <w:szCs w:val="24"/>
        </w:rPr>
        <w:t xml:space="preserve"> are</w:t>
      </w:r>
      <w:r w:rsidRPr="00B32A30">
        <w:rPr>
          <w:rFonts w:ascii="Times New Roman" w:hAnsi="Times New Roman" w:cs="Times New Roman"/>
          <w:sz w:val="24"/>
          <w:szCs w:val="24"/>
        </w:rPr>
        <w:t xml:space="preserve"> not directly involved in the interview process.</w:t>
      </w:r>
      <w:r w:rsidR="0028004C" w:rsidRPr="00B32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8448E" w14:textId="77777777" w:rsidR="00E418EF" w:rsidRDefault="00E418EF" w:rsidP="00FD4605">
      <w:pPr>
        <w:spacing w:line="276" w:lineRule="auto"/>
        <w:ind w:left="720" w:right="114"/>
        <w:rPr>
          <w:rFonts w:ascii="Times New Roman" w:hAnsi="Times New Roman" w:cs="Times New Roman"/>
          <w:sz w:val="24"/>
          <w:szCs w:val="24"/>
        </w:rPr>
      </w:pPr>
    </w:p>
    <w:p w14:paraId="4BB2977F" w14:textId="77777777" w:rsidR="000E025D" w:rsidRDefault="0028004C" w:rsidP="00FD4605">
      <w:pPr>
        <w:spacing w:line="276" w:lineRule="auto"/>
        <w:ind w:left="720" w:right="114"/>
        <w:rPr>
          <w:rFonts w:ascii="Times New Roman" w:hAnsi="Times New Roman" w:cs="Times New Roman"/>
          <w:b/>
          <w:sz w:val="24"/>
          <w:szCs w:val="24"/>
        </w:rPr>
      </w:pPr>
      <w:r w:rsidRPr="00B32A30">
        <w:rPr>
          <w:rFonts w:ascii="Times New Roman" w:hAnsi="Times New Roman" w:cs="Times New Roman"/>
          <w:b/>
          <w:sz w:val="24"/>
          <w:szCs w:val="24"/>
        </w:rPr>
        <w:t xml:space="preserve">It is important to note that this </w:t>
      </w:r>
      <w:r w:rsidR="00FC76F5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Pr="00B32A30">
        <w:rPr>
          <w:rFonts w:ascii="Times New Roman" w:hAnsi="Times New Roman" w:cs="Times New Roman"/>
          <w:b/>
          <w:sz w:val="24"/>
          <w:szCs w:val="24"/>
        </w:rPr>
        <w:t xml:space="preserve">does not apply to </w:t>
      </w:r>
      <w:r w:rsidR="00143A50">
        <w:rPr>
          <w:rFonts w:ascii="Times New Roman" w:hAnsi="Times New Roman" w:cs="Times New Roman"/>
          <w:b/>
          <w:sz w:val="24"/>
          <w:szCs w:val="24"/>
        </w:rPr>
        <w:t>candidates</w:t>
      </w:r>
      <w:r w:rsidRPr="00B32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363">
        <w:rPr>
          <w:rFonts w:ascii="Times New Roman" w:hAnsi="Times New Roman" w:cs="Times New Roman"/>
          <w:b/>
          <w:sz w:val="24"/>
          <w:szCs w:val="24"/>
        </w:rPr>
        <w:t xml:space="preserve">who are currently </w:t>
      </w:r>
      <w:r w:rsidRPr="00B32A30">
        <w:rPr>
          <w:rFonts w:ascii="Times New Roman" w:hAnsi="Times New Roman" w:cs="Times New Roman"/>
          <w:b/>
          <w:sz w:val="24"/>
          <w:szCs w:val="24"/>
        </w:rPr>
        <w:t>employed at the University of Michigan.</w:t>
      </w:r>
      <w:r w:rsidR="00AF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737" w:rsidDel="00AF1737">
        <w:rPr>
          <w:rStyle w:val="FootnoteReferenc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E03D79" w14:textId="77777777" w:rsidR="000E025D" w:rsidRDefault="000E025D" w:rsidP="00FD4605">
      <w:pPr>
        <w:spacing w:line="276" w:lineRule="auto"/>
        <w:ind w:left="720" w:right="114"/>
        <w:rPr>
          <w:rFonts w:ascii="Times New Roman" w:hAnsi="Times New Roman" w:cs="Times New Roman"/>
          <w:b/>
          <w:sz w:val="24"/>
          <w:szCs w:val="24"/>
        </w:rPr>
      </w:pPr>
    </w:p>
    <w:p w14:paraId="28D8F30E" w14:textId="1D6ACA51" w:rsidR="006406D7" w:rsidRDefault="00AF1737" w:rsidP="00FD4605">
      <w:pPr>
        <w:spacing w:line="276" w:lineRule="auto"/>
        <w:ind w:left="720" w:right="114"/>
        <w:rPr>
          <w:rFonts w:ascii="Times New Roman" w:hAnsi="Times New Roman" w:cs="Times New Roman"/>
          <w:b/>
          <w:sz w:val="24"/>
          <w:szCs w:val="24"/>
        </w:rPr>
      </w:pPr>
      <w:r w:rsidRPr="00AF1737">
        <w:rPr>
          <w:rFonts w:ascii="Times New Roman" w:hAnsi="Times New Roman" w:cs="Times New Roman"/>
          <w:b/>
          <w:sz w:val="24"/>
          <w:szCs w:val="24"/>
        </w:rPr>
        <w:t>Eligibility for reimbursement of interview-related travel expenses is allowed up until the candidate's hire date, at which point their employment with U-M begins, provided that the Payroll Office has received all necessary forms to initiate employment.</w:t>
      </w:r>
    </w:p>
    <w:p w14:paraId="033619AA" w14:textId="77777777" w:rsidR="00AF1737" w:rsidRDefault="00AF1737" w:rsidP="00FD4605">
      <w:pPr>
        <w:spacing w:line="276" w:lineRule="auto"/>
        <w:ind w:left="720" w:right="114"/>
        <w:rPr>
          <w:rFonts w:ascii="Times New Roman" w:hAnsi="Times New Roman" w:cs="Times New Roman"/>
          <w:b/>
          <w:sz w:val="24"/>
          <w:szCs w:val="24"/>
        </w:rPr>
      </w:pPr>
    </w:p>
    <w:p w14:paraId="53E7700F" w14:textId="6E1705E0" w:rsidR="000E025D" w:rsidRDefault="000E02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E8BE69" w14:textId="31AF85F7" w:rsidR="00FD4605" w:rsidRDefault="00FD4605" w:rsidP="00FD46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ab/>
        <w:t>General Rule</w:t>
      </w:r>
    </w:p>
    <w:p w14:paraId="1F6A8EA7" w14:textId="77777777" w:rsidR="002F7604" w:rsidRDefault="002F7604" w:rsidP="00FD4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FA20C" w14:textId="3BAAD0DD" w:rsidR="002F7604" w:rsidRPr="002F7604" w:rsidRDefault="002F7604" w:rsidP="002F7604">
      <w:pPr>
        <w:ind w:left="715" w:firstLine="5"/>
        <w:rPr>
          <w:rFonts w:ascii="Times New Roman" w:hAnsi="Times New Roman" w:cs="Times New Roman"/>
          <w:sz w:val="24"/>
          <w:szCs w:val="24"/>
        </w:rPr>
      </w:pPr>
      <w:r w:rsidRPr="002F7604">
        <w:rPr>
          <w:rFonts w:ascii="Times New Roman" w:hAnsi="Times New Roman" w:cs="Times New Roman"/>
          <w:sz w:val="24"/>
          <w:szCs w:val="24"/>
        </w:rPr>
        <w:t xml:space="preserve">Reimbursements for travel expenses made to </w:t>
      </w:r>
      <w:r w:rsidR="00E418EF">
        <w:rPr>
          <w:rFonts w:ascii="Times New Roman" w:hAnsi="Times New Roman" w:cs="Times New Roman"/>
          <w:sz w:val="24"/>
          <w:szCs w:val="24"/>
        </w:rPr>
        <w:t>interview</w:t>
      </w:r>
      <w:r w:rsidR="00FC76F5">
        <w:rPr>
          <w:rFonts w:ascii="Times New Roman" w:hAnsi="Times New Roman" w:cs="Times New Roman"/>
          <w:sz w:val="24"/>
          <w:szCs w:val="24"/>
        </w:rPr>
        <w:t>-candidate</w:t>
      </w:r>
      <w:r w:rsidRPr="002F7604">
        <w:rPr>
          <w:rFonts w:ascii="Times New Roman" w:hAnsi="Times New Roman" w:cs="Times New Roman"/>
          <w:sz w:val="24"/>
          <w:szCs w:val="24"/>
        </w:rPr>
        <w:t>s by a</w:t>
      </w:r>
      <w:r w:rsidR="00E418EF">
        <w:rPr>
          <w:rFonts w:ascii="Times New Roman" w:hAnsi="Times New Roman" w:cs="Times New Roman"/>
          <w:sz w:val="24"/>
          <w:szCs w:val="24"/>
        </w:rPr>
        <w:t xml:space="preserve"> SCU </w:t>
      </w:r>
      <w:r w:rsidRPr="002F7604">
        <w:rPr>
          <w:rFonts w:ascii="Times New Roman" w:hAnsi="Times New Roman" w:cs="Times New Roman"/>
          <w:sz w:val="24"/>
          <w:szCs w:val="24"/>
        </w:rPr>
        <w:t>for expenses incurred in connection with interviews for possible employment, which are conducted at the</w:t>
      </w:r>
      <w:r w:rsidR="00E418EF">
        <w:rPr>
          <w:rFonts w:ascii="Times New Roman" w:hAnsi="Times New Roman" w:cs="Times New Roman"/>
          <w:sz w:val="24"/>
          <w:szCs w:val="24"/>
        </w:rPr>
        <w:t>ir</w:t>
      </w:r>
      <w:r w:rsidRPr="002F7604">
        <w:rPr>
          <w:rFonts w:ascii="Times New Roman" w:hAnsi="Times New Roman" w:cs="Times New Roman"/>
          <w:sz w:val="24"/>
          <w:szCs w:val="24"/>
        </w:rPr>
        <w:t xml:space="preserve"> invitation, are not “wages”</w:t>
      </w:r>
      <w:r w:rsidR="00A72E96">
        <w:rPr>
          <w:rFonts w:ascii="Times New Roman" w:hAnsi="Times New Roman" w:cs="Times New Roman"/>
          <w:sz w:val="24"/>
          <w:szCs w:val="24"/>
        </w:rPr>
        <w:t xml:space="preserve"> and are eligible for tax-free reimbursement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6A675304" w14:textId="77777777" w:rsidR="00FD4605" w:rsidRPr="00B32A30" w:rsidRDefault="00FD4605">
      <w:pPr>
        <w:spacing w:line="276" w:lineRule="auto"/>
        <w:ind w:left="100" w:right="114"/>
        <w:rPr>
          <w:rFonts w:ascii="Times New Roman" w:hAnsi="Times New Roman" w:cs="Times New Roman"/>
          <w:b/>
          <w:sz w:val="24"/>
          <w:szCs w:val="24"/>
        </w:rPr>
      </w:pPr>
    </w:p>
    <w:p w14:paraId="64B7B482" w14:textId="72F109C7" w:rsidR="004704C5" w:rsidRPr="00B32A30" w:rsidRDefault="004704C5" w:rsidP="004704C5">
      <w:pPr>
        <w:spacing w:line="276" w:lineRule="auto"/>
        <w:ind w:left="715" w:right="114"/>
        <w:rPr>
          <w:rFonts w:ascii="Times New Roman" w:hAnsi="Times New Roman" w:cs="Times New Roman"/>
          <w:bCs/>
          <w:sz w:val="24"/>
          <w:szCs w:val="24"/>
        </w:rPr>
      </w:pPr>
      <w:r w:rsidRPr="00B32A30">
        <w:rPr>
          <w:rFonts w:ascii="Times New Roman" w:hAnsi="Times New Roman" w:cs="Times New Roman"/>
          <w:bCs/>
          <w:sz w:val="24"/>
          <w:szCs w:val="24"/>
        </w:rPr>
        <w:t xml:space="preserve">Travel expenses for family </w:t>
      </w:r>
      <w:r w:rsidR="00E418EF">
        <w:rPr>
          <w:rFonts w:ascii="Times New Roman" w:hAnsi="Times New Roman" w:cs="Times New Roman"/>
          <w:bCs/>
          <w:sz w:val="24"/>
          <w:szCs w:val="24"/>
        </w:rPr>
        <w:t xml:space="preserve">members </w:t>
      </w:r>
      <w:r w:rsidRPr="00B32A30">
        <w:rPr>
          <w:rFonts w:ascii="Times New Roman" w:hAnsi="Times New Roman" w:cs="Times New Roman"/>
          <w:bCs/>
          <w:sz w:val="24"/>
          <w:szCs w:val="24"/>
        </w:rPr>
        <w:t xml:space="preserve">and dependents </w:t>
      </w:r>
      <w:r w:rsidR="00757D93">
        <w:rPr>
          <w:rFonts w:ascii="Times New Roman" w:hAnsi="Times New Roman" w:cs="Times New Roman"/>
          <w:bCs/>
          <w:sz w:val="24"/>
          <w:szCs w:val="24"/>
        </w:rPr>
        <w:t xml:space="preserve">of a candidate </w:t>
      </w:r>
      <w:r w:rsidRPr="00B32A30">
        <w:rPr>
          <w:rFonts w:ascii="Times New Roman" w:hAnsi="Times New Roman" w:cs="Times New Roman"/>
          <w:bCs/>
          <w:sz w:val="24"/>
          <w:szCs w:val="24"/>
        </w:rPr>
        <w:t>will be eligible for tax-free reimbursement when all of the following apply:</w:t>
      </w:r>
    </w:p>
    <w:p w14:paraId="2913E634" w14:textId="4A9BAB4F" w:rsidR="004704C5" w:rsidRPr="00B32A30" w:rsidRDefault="004704C5" w:rsidP="004704C5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71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spacing w:val="-3"/>
          <w:sz w:val="24"/>
          <w:szCs w:val="24"/>
        </w:rPr>
        <w:t>The candidate is a</w:t>
      </w:r>
      <w:r w:rsidR="00FD4605" w:rsidRPr="00B32A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4605" w:rsidRPr="00B32A30">
        <w:rPr>
          <w:rFonts w:ascii="Times New Roman" w:hAnsi="Times New Roman" w:cs="Times New Roman"/>
          <w:sz w:val="24"/>
          <w:szCs w:val="24"/>
        </w:rPr>
        <w:t>finalist</w:t>
      </w:r>
      <w:r w:rsidR="00FD4605" w:rsidRPr="00B32A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4605" w:rsidRPr="00B32A30">
        <w:rPr>
          <w:rFonts w:ascii="Times New Roman" w:hAnsi="Times New Roman" w:cs="Times New Roman"/>
          <w:sz w:val="24"/>
          <w:szCs w:val="24"/>
        </w:rPr>
        <w:t>for</w:t>
      </w:r>
      <w:r w:rsidR="00FD4605" w:rsidRPr="00B32A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4605" w:rsidRPr="00B32A30">
        <w:rPr>
          <w:rFonts w:ascii="Times New Roman" w:hAnsi="Times New Roman" w:cs="Times New Roman"/>
          <w:sz w:val="24"/>
          <w:szCs w:val="24"/>
        </w:rPr>
        <w:t>the</w:t>
      </w:r>
      <w:r w:rsidR="00FD4605" w:rsidRPr="00B32A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4605" w:rsidRPr="00B32A30">
        <w:rPr>
          <w:rFonts w:ascii="Times New Roman" w:hAnsi="Times New Roman" w:cs="Times New Roman"/>
          <w:sz w:val="24"/>
          <w:szCs w:val="24"/>
        </w:rPr>
        <w:t>position</w:t>
      </w:r>
      <w:r w:rsidR="00FD4605" w:rsidRPr="00B32A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4605" w:rsidRPr="00B32A30">
        <w:rPr>
          <w:rFonts w:ascii="Times New Roman" w:hAnsi="Times New Roman" w:cs="Times New Roman"/>
          <w:sz w:val="24"/>
          <w:szCs w:val="24"/>
        </w:rPr>
        <w:t>and</w:t>
      </w:r>
      <w:r w:rsidR="00FD4605" w:rsidRPr="00B32A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2A30">
        <w:rPr>
          <w:rFonts w:ascii="Times New Roman" w:hAnsi="Times New Roman" w:cs="Times New Roman"/>
          <w:spacing w:val="-4"/>
          <w:sz w:val="24"/>
          <w:szCs w:val="24"/>
        </w:rPr>
        <w:t>traveling primarily for the final interview</w:t>
      </w:r>
      <w:r w:rsidR="00A72E96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B32A30">
        <w:rPr>
          <w:rFonts w:ascii="Times New Roman" w:hAnsi="Times New Roman" w:cs="Times New Roman"/>
          <w:spacing w:val="-4"/>
          <w:sz w:val="24"/>
          <w:szCs w:val="24"/>
        </w:rPr>
        <w:t xml:space="preserve"> as opposed to relocation (e.g., house hunting, moving, etc.)</w:t>
      </w:r>
      <w:r w:rsidR="00757D93">
        <w:rPr>
          <w:rStyle w:val="FootnoteReference"/>
          <w:rFonts w:ascii="Times New Roman" w:hAnsi="Times New Roman" w:cs="Times New Roman"/>
          <w:spacing w:val="-4"/>
          <w:sz w:val="24"/>
          <w:szCs w:val="24"/>
        </w:rPr>
        <w:footnoteReference w:id="4"/>
      </w:r>
      <w:r w:rsidRPr="00B32A30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0C0D2298" w14:textId="5998E234" w:rsidR="00FD4605" w:rsidRPr="00C70457" w:rsidRDefault="00521879" w:rsidP="004704C5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71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521879">
        <w:rPr>
          <w:rFonts w:ascii="Times New Roman" w:hAnsi="Times New Roman" w:cs="Times New Roman"/>
          <w:sz w:val="24"/>
          <w:szCs w:val="24"/>
        </w:rPr>
        <w:t>An offer would require the candidate, along with any family members and dependents traveling with them, to relocate their household to an area near U-M for the position</w:t>
      </w:r>
      <w:r w:rsidR="004704C5" w:rsidRPr="00C70457">
        <w:rPr>
          <w:rFonts w:ascii="Times New Roman" w:hAnsi="Times New Roman" w:cs="Times New Roman"/>
          <w:sz w:val="24"/>
          <w:szCs w:val="24"/>
        </w:rPr>
        <w:t>,</w:t>
      </w:r>
    </w:p>
    <w:p w14:paraId="5CD7F250" w14:textId="67C43694" w:rsidR="004704C5" w:rsidRPr="00B32A30" w:rsidRDefault="004704C5" w:rsidP="004704C5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71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sz w:val="24"/>
          <w:szCs w:val="24"/>
        </w:rPr>
        <w:t xml:space="preserve">The candidate had not previously been reimbursed for family </w:t>
      </w:r>
      <w:r w:rsidR="00E418EF">
        <w:rPr>
          <w:rFonts w:ascii="Times New Roman" w:hAnsi="Times New Roman" w:cs="Times New Roman"/>
          <w:sz w:val="24"/>
          <w:szCs w:val="24"/>
        </w:rPr>
        <w:t xml:space="preserve">and dependent </w:t>
      </w:r>
      <w:r w:rsidRPr="00B32A30">
        <w:rPr>
          <w:rFonts w:ascii="Times New Roman" w:hAnsi="Times New Roman" w:cs="Times New Roman"/>
          <w:sz w:val="24"/>
          <w:szCs w:val="24"/>
        </w:rPr>
        <w:t>travel, and</w:t>
      </w:r>
    </w:p>
    <w:p w14:paraId="5C92DDE2" w14:textId="49D147CF" w:rsidR="004704C5" w:rsidRPr="00B32A30" w:rsidRDefault="004704C5" w:rsidP="004704C5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71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sz w:val="24"/>
          <w:szCs w:val="24"/>
        </w:rPr>
        <w:t>The candidate is currently not an employee of U-M.</w:t>
      </w:r>
    </w:p>
    <w:p w14:paraId="6EF4DD4F" w14:textId="77777777" w:rsidR="00FD4605" w:rsidRPr="00B32A30" w:rsidRDefault="00FD4605" w:rsidP="00FD4605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908C40A" w14:textId="00638C66" w:rsidR="00FD4605" w:rsidRDefault="00E418EF" w:rsidP="00031699">
      <w:pPr>
        <w:spacing w:line="276" w:lineRule="auto"/>
        <w:ind w:left="720" w:right="114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On a </w:t>
      </w:r>
      <w:r w:rsidR="00D81621">
        <w:rPr>
          <w:rFonts w:ascii="Times New Roman" w:hAnsi="Times New Roman" w:cs="Times New Roman"/>
          <w:spacing w:val="-5"/>
          <w:sz w:val="24"/>
          <w:szCs w:val="24"/>
        </w:rPr>
        <w:t xml:space="preserve">separate but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related note, the SCU may reimburse the travel expenses of </w:t>
      </w:r>
      <w:r w:rsidR="00901104">
        <w:rPr>
          <w:rFonts w:ascii="Times New Roman" w:hAnsi="Times New Roman" w:cs="Times New Roman"/>
          <w:spacing w:val="-5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candidates’</w:t>
      </w:r>
      <w:r w:rsidR="009011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3005C">
        <w:rPr>
          <w:rFonts w:ascii="Times New Roman" w:hAnsi="Times New Roman" w:cs="Times New Roman"/>
          <w:spacing w:val="-5"/>
          <w:sz w:val="24"/>
          <w:szCs w:val="24"/>
        </w:rPr>
        <w:t>family members</w:t>
      </w:r>
      <w:r w:rsidR="009011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when they are </w:t>
      </w:r>
      <w:r w:rsidR="00901104">
        <w:rPr>
          <w:rFonts w:ascii="Times New Roman" w:hAnsi="Times New Roman" w:cs="Times New Roman"/>
          <w:spacing w:val="-5"/>
          <w:sz w:val="24"/>
          <w:szCs w:val="24"/>
        </w:rPr>
        <w:t>included in the interview process. In this case, the SCU must provide documentation of their role and responsibilities, such as an agenda, etc.</w:t>
      </w:r>
    </w:p>
    <w:p w14:paraId="585C7F3E" w14:textId="77777777" w:rsidR="00C92EAB" w:rsidRPr="00B32A30" w:rsidRDefault="00C92EAB">
      <w:pPr>
        <w:spacing w:line="276" w:lineRule="auto"/>
        <w:ind w:left="100" w:right="114"/>
        <w:rPr>
          <w:rFonts w:ascii="Times New Roman" w:hAnsi="Times New Roman" w:cs="Times New Roman"/>
          <w:b/>
          <w:sz w:val="24"/>
          <w:szCs w:val="24"/>
        </w:rPr>
      </w:pPr>
    </w:p>
    <w:p w14:paraId="25F13AFA" w14:textId="5157306C" w:rsidR="006406D7" w:rsidRPr="00B32A30" w:rsidRDefault="004704C5" w:rsidP="004704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ab/>
        <w:t>Substantiation Requirements</w:t>
      </w:r>
    </w:p>
    <w:p w14:paraId="327048F6" w14:textId="77777777" w:rsidR="006406D7" w:rsidRPr="00B32A30" w:rsidRDefault="006406D7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18ABCB6E" w14:textId="6C0D89B5" w:rsidR="006406D7" w:rsidRPr="00B32A30" w:rsidRDefault="004704C5" w:rsidP="00C70457">
      <w:pPr>
        <w:pStyle w:val="BodyText"/>
        <w:spacing w:line="278" w:lineRule="auto"/>
        <w:ind w:left="720" w:right="9"/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sz w:val="24"/>
          <w:szCs w:val="24"/>
        </w:rPr>
        <w:t>To be eligible for tax-free reimbursement</w:t>
      </w:r>
      <w:r w:rsidR="00B32A30" w:rsidRPr="00B32A30">
        <w:rPr>
          <w:rFonts w:ascii="Times New Roman" w:hAnsi="Times New Roman" w:cs="Times New Roman"/>
          <w:sz w:val="24"/>
          <w:szCs w:val="24"/>
        </w:rPr>
        <w:t>, the following information must be documented:</w:t>
      </w:r>
    </w:p>
    <w:p w14:paraId="1FCD34C9" w14:textId="6FB5523F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Position Title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2A30">
        <w:rPr>
          <w:rFonts w:ascii="Times New Roman" w:hAnsi="Times New Roman" w:cs="Times New Roman"/>
          <w:sz w:val="24"/>
          <w:szCs w:val="24"/>
        </w:rPr>
        <w:t>What is the name of the position being filled?</w:t>
      </w:r>
    </w:p>
    <w:p w14:paraId="1E6ED42B" w14:textId="41D26DAF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Candidate Name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2A30">
        <w:rPr>
          <w:rFonts w:ascii="Times New Roman" w:hAnsi="Times New Roman" w:cs="Times New Roman"/>
          <w:sz w:val="24"/>
          <w:szCs w:val="24"/>
        </w:rPr>
        <w:t>Who is the individual being recruited?</w:t>
      </w:r>
    </w:p>
    <w:p w14:paraId="1CCE4499" w14:textId="4A31E74B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Finalist Status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2A30">
        <w:rPr>
          <w:rFonts w:ascii="Times New Roman" w:hAnsi="Times New Roman" w:cs="Times New Roman"/>
          <w:sz w:val="24"/>
          <w:szCs w:val="24"/>
        </w:rPr>
        <w:t>Is the individual a finalist for the position?</w:t>
      </w:r>
    </w:p>
    <w:p w14:paraId="302A664B" w14:textId="074A2BD9" w:rsidR="00B32A30" w:rsidRPr="00B32A30" w:rsidRDefault="00901104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B32A30" w:rsidRPr="00B32A30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32A30" w:rsidRPr="00B32A30">
        <w:rPr>
          <w:rFonts w:ascii="Times New Roman" w:hAnsi="Times New Roman" w:cs="Times New Roman"/>
          <w:sz w:val="24"/>
          <w:szCs w:val="24"/>
        </w:rPr>
        <w:t xml:space="preserve">Please provide the name of the </w:t>
      </w:r>
      <w:r>
        <w:rPr>
          <w:rFonts w:ascii="Times New Roman" w:hAnsi="Times New Roman" w:cs="Times New Roman"/>
          <w:sz w:val="24"/>
          <w:szCs w:val="24"/>
        </w:rPr>
        <w:t>partner</w:t>
      </w:r>
      <w:r w:rsidR="00B32A30" w:rsidRPr="00B32A30">
        <w:rPr>
          <w:rFonts w:ascii="Times New Roman" w:hAnsi="Times New Roman" w:cs="Times New Roman"/>
          <w:sz w:val="24"/>
          <w:szCs w:val="24"/>
        </w:rPr>
        <w:t xml:space="preserve"> accompanying the </w:t>
      </w:r>
      <w:r>
        <w:rPr>
          <w:rFonts w:ascii="Times New Roman" w:hAnsi="Times New Roman" w:cs="Times New Roman"/>
          <w:sz w:val="24"/>
          <w:szCs w:val="24"/>
        </w:rPr>
        <w:t>candidate</w:t>
      </w:r>
      <w:r w:rsidR="00B32A30" w:rsidRPr="00B32A30">
        <w:rPr>
          <w:rFonts w:ascii="Times New Roman" w:hAnsi="Times New Roman" w:cs="Times New Roman"/>
          <w:sz w:val="24"/>
          <w:szCs w:val="24"/>
        </w:rPr>
        <w:t xml:space="preserve"> being recruited.</w:t>
      </w:r>
    </w:p>
    <w:p w14:paraId="65A31460" w14:textId="3C6F6B72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 xml:space="preserve">Purpose of </w:t>
      </w:r>
      <w:r w:rsidR="00D81621"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Pr="00B32A30">
        <w:rPr>
          <w:rFonts w:ascii="Times New Roman" w:hAnsi="Times New Roman" w:cs="Times New Roman"/>
          <w:b/>
          <w:bCs/>
          <w:sz w:val="24"/>
          <w:szCs w:val="24"/>
        </w:rPr>
        <w:t xml:space="preserve"> Travel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2A30">
        <w:rPr>
          <w:rFonts w:ascii="Times New Roman" w:hAnsi="Times New Roman" w:cs="Times New Roman"/>
          <w:sz w:val="24"/>
          <w:szCs w:val="24"/>
        </w:rPr>
        <w:t xml:space="preserve">What is the purpose of reimbursing </w:t>
      </w:r>
      <w:r w:rsidR="00901104">
        <w:rPr>
          <w:rFonts w:ascii="Times New Roman" w:hAnsi="Times New Roman" w:cs="Times New Roman"/>
          <w:sz w:val="24"/>
          <w:szCs w:val="24"/>
        </w:rPr>
        <w:t>the partner’s</w:t>
      </w:r>
      <w:r w:rsidRPr="00B32A30">
        <w:rPr>
          <w:rFonts w:ascii="Times New Roman" w:hAnsi="Times New Roman" w:cs="Times New Roman"/>
          <w:sz w:val="24"/>
          <w:szCs w:val="24"/>
        </w:rPr>
        <w:t xml:space="preserve"> travel? (e.g., visiting Ann Arbor/UM, exploring area schools and housing options)</w:t>
      </w:r>
    </w:p>
    <w:p w14:paraId="3C518B81" w14:textId="5FCD3B37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Children’s Details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EF5363" w:rsidRPr="00EF5363">
        <w:rPr>
          <w:rFonts w:ascii="Times New Roman" w:hAnsi="Times New Roman" w:cs="Times New Roman"/>
          <w:sz w:val="24"/>
          <w:szCs w:val="24"/>
        </w:rPr>
        <w:t xml:space="preserve"> I</w:t>
      </w:r>
      <w:r w:rsidRPr="00EF5363">
        <w:rPr>
          <w:rFonts w:ascii="Times New Roman" w:hAnsi="Times New Roman" w:cs="Times New Roman"/>
          <w:sz w:val="24"/>
          <w:szCs w:val="24"/>
        </w:rPr>
        <w:t>f</w:t>
      </w:r>
      <w:r w:rsidRPr="00B32A30">
        <w:rPr>
          <w:rFonts w:ascii="Times New Roman" w:hAnsi="Times New Roman" w:cs="Times New Roman"/>
          <w:sz w:val="24"/>
          <w:szCs w:val="24"/>
        </w:rPr>
        <w:t xml:space="preserve"> children are included and additional expenses </w:t>
      </w:r>
      <w:r w:rsidR="00EF5363">
        <w:rPr>
          <w:rFonts w:ascii="Times New Roman" w:hAnsi="Times New Roman" w:cs="Times New Roman"/>
          <w:sz w:val="24"/>
          <w:szCs w:val="24"/>
        </w:rPr>
        <w:t>are</w:t>
      </w:r>
      <w:r w:rsidRPr="00B32A30">
        <w:rPr>
          <w:rFonts w:ascii="Times New Roman" w:hAnsi="Times New Roman" w:cs="Times New Roman"/>
          <w:sz w:val="24"/>
          <w:szCs w:val="24"/>
        </w:rPr>
        <w:t xml:space="preserve"> incurred, please provide their approximate ages (e.g., high school-aged, elementary-aged).</w:t>
      </w:r>
    </w:p>
    <w:p w14:paraId="1F61AB88" w14:textId="0A049E55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Other Accompanying Household Members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42074">
        <w:rPr>
          <w:rFonts w:ascii="Times New Roman" w:hAnsi="Times New Roman" w:cs="Times New Roman"/>
          <w:sz w:val="24"/>
          <w:szCs w:val="24"/>
        </w:rPr>
        <w:t xml:space="preserve">Please provide the names of the </w:t>
      </w:r>
      <w:r w:rsidRPr="00B32A30">
        <w:rPr>
          <w:rFonts w:ascii="Times New Roman" w:hAnsi="Times New Roman" w:cs="Times New Roman"/>
          <w:sz w:val="24"/>
          <w:szCs w:val="24"/>
        </w:rPr>
        <w:t xml:space="preserve">household members </w:t>
      </w:r>
      <w:r w:rsidR="00842074">
        <w:rPr>
          <w:rFonts w:ascii="Times New Roman" w:hAnsi="Times New Roman" w:cs="Times New Roman"/>
          <w:sz w:val="24"/>
          <w:szCs w:val="24"/>
        </w:rPr>
        <w:t xml:space="preserve">and </w:t>
      </w:r>
      <w:r w:rsidRPr="00B32A30">
        <w:rPr>
          <w:rFonts w:ascii="Times New Roman" w:hAnsi="Times New Roman" w:cs="Times New Roman"/>
          <w:sz w:val="24"/>
          <w:szCs w:val="24"/>
        </w:rPr>
        <w:t>indicate their relationship to the candidate and the purpose of their visit.</w:t>
      </w:r>
    </w:p>
    <w:p w14:paraId="00FE47D1" w14:textId="17E46E54" w:rsidR="00B32A30" w:rsidRPr="00B32A30" w:rsidRDefault="00B32A30" w:rsidP="00B32A30">
      <w:pPr>
        <w:pStyle w:val="Body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b/>
          <w:bCs/>
          <w:sz w:val="24"/>
          <w:szCs w:val="24"/>
        </w:rPr>
        <w:t>Interview and Travel Details</w:t>
      </w:r>
      <w:r w:rsidR="00EF5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2A30">
        <w:rPr>
          <w:rFonts w:ascii="Times New Roman" w:hAnsi="Times New Roman" w:cs="Times New Roman"/>
          <w:sz w:val="24"/>
          <w:szCs w:val="24"/>
        </w:rPr>
        <w:t>Please provide the interview meeting agenda and travel itinerary for the candidate’s visit.</w:t>
      </w:r>
    </w:p>
    <w:p w14:paraId="681592A1" w14:textId="098403E8" w:rsidR="00B32A30" w:rsidRPr="00B32A30" w:rsidRDefault="00AF1737" w:rsidP="00B32A30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B32A30"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V.</w:t>
      </w:r>
      <w:r w:rsidR="00B32A30"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Pre-</w:t>
      </w:r>
      <w:r w:rsidR="002F760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="00B32A30"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rip </w:t>
      </w:r>
      <w:r w:rsidR="002F760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A</w:t>
      </w:r>
      <w:r w:rsidR="00B32A30" w:rsidRPr="00B32A3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ssistance</w:t>
      </w:r>
    </w:p>
    <w:p w14:paraId="600E0670" w14:textId="731278C9" w:rsidR="00496FA7" w:rsidRPr="00B32A30" w:rsidRDefault="00B32A30" w:rsidP="00F14FD9">
      <w:pPr>
        <w:tabs>
          <w:tab w:val="left" w:pos="820"/>
          <w:tab w:val="left" w:pos="821"/>
        </w:tabs>
        <w:spacing w:line="273" w:lineRule="auto"/>
        <w:ind w:left="720" w:right="1315"/>
        <w:rPr>
          <w:rFonts w:ascii="Times New Roman" w:hAnsi="Times New Roman" w:cs="Times New Roman"/>
          <w:sz w:val="24"/>
          <w:szCs w:val="24"/>
        </w:rPr>
      </w:pPr>
      <w:r w:rsidRPr="00B32A30">
        <w:rPr>
          <w:rFonts w:ascii="Times New Roman" w:hAnsi="Times New Roman" w:cs="Times New Roman"/>
          <w:sz w:val="24"/>
          <w:szCs w:val="24"/>
        </w:rPr>
        <w:t xml:space="preserve">If administrators with the </w:t>
      </w:r>
      <w:r w:rsidR="00901104">
        <w:rPr>
          <w:rFonts w:ascii="Times New Roman" w:hAnsi="Times New Roman" w:cs="Times New Roman"/>
          <w:sz w:val="24"/>
          <w:szCs w:val="24"/>
        </w:rPr>
        <w:t>SCU</w:t>
      </w:r>
      <w:r w:rsidRPr="00B32A30">
        <w:rPr>
          <w:rFonts w:ascii="Times New Roman" w:hAnsi="Times New Roman" w:cs="Times New Roman"/>
          <w:sz w:val="24"/>
          <w:szCs w:val="24"/>
        </w:rPr>
        <w:t xml:space="preserve"> have any questions regarding whether </w:t>
      </w:r>
      <w:r w:rsidR="00901104">
        <w:rPr>
          <w:rFonts w:ascii="Times New Roman" w:hAnsi="Times New Roman" w:cs="Times New Roman"/>
          <w:sz w:val="24"/>
          <w:szCs w:val="24"/>
        </w:rPr>
        <w:t xml:space="preserve">the travel expenses incurred by </w:t>
      </w:r>
      <w:r w:rsidR="00F14FD9">
        <w:rPr>
          <w:rFonts w:ascii="Times New Roman" w:hAnsi="Times New Roman" w:cs="Times New Roman"/>
          <w:sz w:val="24"/>
          <w:szCs w:val="24"/>
        </w:rPr>
        <w:t>candidate</w:t>
      </w:r>
      <w:r w:rsidR="00901104">
        <w:rPr>
          <w:rFonts w:ascii="Times New Roman" w:hAnsi="Times New Roman" w:cs="Times New Roman"/>
          <w:sz w:val="24"/>
          <w:szCs w:val="24"/>
        </w:rPr>
        <w:t>s</w:t>
      </w:r>
      <w:r w:rsidRPr="00B32A30">
        <w:rPr>
          <w:rFonts w:ascii="Times New Roman" w:hAnsi="Times New Roman" w:cs="Times New Roman"/>
          <w:sz w:val="24"/>
          <w:szCs w:val="24"/>
        </w:rPr>
        <w:t xml:space="preserve"> </w:t>
      </w:r>
      <w:r w:rsidR="00901104">
        <w:rPr>
          <w:rFonts w:ascii="Times New Roman" w:hAnsi="Times New Roman" w:cs="Times New Roman"/>
          <w:sz w:val="24"/>
          <w:szCs w:val="24"/>
        </w:rPr>
        <w:t xml:space="preserve">or their families and dependents </w:t>
      </w:r>
      <w:r w:rsidRPr="00B32A30">
        <w:rPr>
          <w:rFonts w:ascii="Times New Roman" w:hAnsi="Times New Roman" w:cs="Times New Roman"/>
          <w:sz w:val="24"/>
          <w:szCs w:val="24"/>
        </w:rPr>
        <w:t xml:space="preserve">will qualify for tax-free treatment, please contact the Tax Compliance and Planning </w:t>
      </w:r>
      <w:r w:rsidR="003D12F9">
        <w:rPr>
          <w:rFonts w:ascii="Times New Roman" w:hAnsi="Times New Roman" w:cs="Times New Roman"/>
          <w:sz w:val="24"/>
          <w:szCs w:val="24"/>
        </w:rPr>
        <w:t>O</w:t>
      </w:r>
      <w:r w:rsidRPr="00B32A30">
        <w:rPr>
          <w:rFonts w:ascii="Times New Roman" w:hAnsi="Times New Roman" w:cs="Times New Roman"/>
          <w:sz w:val="24"/>
          <w:szCs w:val="24"/>
        </w:rPr>
        <w:t>ffice</w:t>
      </w:r>
      <w:r w:rsidR="00EF5363">
        <w:rPr>
          <w:rFonts w:ascii="Times New Roman" w:hAnsi="Times New Roman" w:cs="Times New Roman"/>
          <w:sz w:val="24"/>
          <w:szCs w:val="24"/>
        </w:rPr>
        <w:t xml:space="preserve"> n</w:t>
      </w:r>
      <w:r w:rsidRPr="00B32A30">
        <w:rPr>
          <w:rFonts w:ascii="Times New Roman" w:hAnsi="Times New Roman" w:cs="Times New Roman"/>
          <w:sz w:val="24"/>
          <w:szCs w:val="24"/>
        </w:rPr>
        <w:t xml:space="preserve">o less than five business days before the trip at </w:t>
      </w:r>
      <w:r w:rsidRPr="00C70457">
        <w:rPr>
          <w:rFonts w:ascii="Times New Roman" w:hAnsi="Times New Roman" w:cs="Times New Roman"/>
          <w:color w:val="0000FF"/>
          <w:sz w:val="24"/>
          <w:szCs w:val="24"/>
        </w:rPr>
        <w:t>taxreporting@umich.edu</w:t>
      </w:r>
      <w:r w:rsidRPr="00B32A30">
        <w:rPr>
          <w:rFonts w:ascii="Times New Roman" w:hAnsi="Times New Roman" w:cs="Times New Roman"/>
          <w:sz w:val="24"/>
          <w:szCs w:val="24"/>
        </w:rPr>
        <w:t xml:space="preserve"> with the information listed </w:t>
      </w:r>
      <w:r w:rsidR="00F14FD9">
        <w:rPr>
          <w:rFonts w:ascii="Times New Roman" w:hAnsi="Times New Roman" w:cs="Times New Roman"/>
          <w:sz w:val="24"/>
          <w:szCs w:val="24"/>
        </w:rPr>
        <w:t>in Section III</w:t>
      </w:r>
      <w:r w:rsidRPr="00B32A30">
        <w:rPr>
          <w:rFonts w:ascii="Times New Roman" w:hAnsi="Times New Roman" w:cs="Times New Roman"/>
          <w:sz w:val="24"/>
          <w:szCs w:val="24"/>
        </w:rPr>
        <w:t xml:space="preserve"> and the tax team can provide guidance</w:t>
      </w:r>
      <w:r w:rsidR="00F14FD9">
        <w:rPr>
          <w:rFonts w:ascii="Times New Roman" w:hAnsi="Times New Roman" w:cs="Times New Roman"/>
          <w:sz w:val="24"/>
          <w:szCs w:val="24"/>
        </w:rPr>
        <w:t>.</w:t>
      </w:r>
    </w:p>
    <w:sectPr w:rsidR="00496FA7" w:rsidRPr="00B32A30" w:rsidSect="00DC24A9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B5CF" w14:textId="77777777" w:rsidR="00701C14" w:rsidRDefault="00701C14" w:rsidP="00FD4605">
      <w:r>
        <w:separator/>
      </w:r>
    </w:p>
  </w:endnote>
  <w:endnote w:type="continuationSeparator" w:id="0">
    <w:p w14:paraId="10895448" w14:textId="77777777" w:rsidR="00701C14" w:rsidRDefault="00701C14" w:rsidP="00FD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A50C" w14:textId="77777777" w:rsidR="00701C14" w:rsidRDefault="00701C14" w:rsidP="00FD4605">
      <w:r>
        <w:separator/>
      </w:r>
    </w:p>
  </w:footnote>
  <w:footnote w:type="continuationSeparator" w:id="0">
    <w:p w14:paraId="687A9DED" w14:textId="77777777" w:rsidR="00701C14" w:rsidRDefault="00701C14" w:rsidP="00FD4605">
      <w:r>
        <w:continuationSeparator/>
      </w:r>
    </w:p>
  </w:footnote>
  <w:footnote w:id="1">
    <w:p w14:paraId="0F396E09" w14:textId="57E33179" w:rsidR="00FD4605" w:rsidRPr="00FC76F5" w:rsidRDefault="00FD4605">
      <w:pPr>
        <w:pStyle w:val="FootnoteText"/>
        <w:rPr>
          <w:rFonts w:ascii="Calibri" w:hAnsi="Calibri" w:cs="Calibri"/>
        </w:rPr>
      </w:pPr>
      <w:r w:rsidRPr="00FC76F5">
        <w:rPr>
          <w:rStyle w:val="FootnoteReference"/>
          <w:rFonts w:ascii="Calibri" w:hAnsi="Calibri" w:cs="Calibri"/>
        </w:rPr>
        <w:footnoteRef/>
      </w:r>
      <w:r w:rsidRPr="00FC76F5">
        <w:rPr>
          <w:rFonts w:ascii="Calibri" w:hAnsi="Calibri" w:cs="Calibri"/>
        </w:rPr>
        <w:t xml:space="preserve"> </w:t>
      </w:r>
      <w:r w:rsidR="004704C5" w:rsidRPr="00FC76F5">
        <w:rPr>
          <w:rFonts w:ascii="Calibri" w:hAnsi="Calibri" w:cs="Calibri"/>
        </w:rPr>
        <w:t xml:space="preserve">Please know that this tax policy is separate and </w:t>
      </w:r>
      <w:r w:rsidR="00143A50">
        <w:rPr>
          <w:rFonts w:ascii="Calibri" w:hAnsi="Calibri" w:cs="Calibri"/>
        </w:rPr>
        <w:t>distinct</w:t>
      </w:r>
      <w:r w:rsidR="004704C5" w:rsidRPr="00FC76F5">
        <w:rPr>
          <w:rFonts w:ascii="Calibri" w:hAnsi="Calibri" w:cs="Calibri"/>
        </w:rPr>
        <w:t xml:space="preserve"> from the tax policy on relocation</w:t>
      </w:r>
      <w:r w:rsidR="00842074">
        <w:rPr>
          <w:rFonts w:ascii="Calibri" w:hAnsi="Calibri" w:cs="Calibri"/>
        </w:rPr>
        <w:t xml:space="preserve"> which can be found at </w:t>
      </w:r>
      <w:hyperlink r:id="rId1" w:history="1">
        <w:r w:rsidR="00842074" w:rsidRPr="00F6364E">
          <w:rPr>
            <w:rStyle w:val="Hyperlink"/>
            <w:rFonts w:ascii="Calibri" w:hAnsi="Calibri" w:cs="Calibri"/>
          </w:rPr>
          <w:t>SPG 201.68, Moving and Relocation Expenses</w:t>
        </w:r>
      </w:hyperlink>
      <w:r w:rsidR="004704C5" w:rsidRPr="00FC76F5">
        <w:rPr>
          <w:rFonts w:ascii="Calibri" w:hAnsi="Calibri" w:cs="Calibri"/>
        </w:rPr>
        <w:t xml:space="preserve">. When the primary purpose of the candidate’s travel is for relocation, the travel for the candidate and their family will be considered taxable income to the candidate. </w:t>
      </w:r>
    </w:p>
  </w:footnote>
  <w:footnote w:id="2">
    <w:p w14:paraId="717137F3" w14:textId="26B33EB9" w:rsidR="002F7604" w:rsidRPr="00FC76F5" w:rsidRDefault="002F7604">
      <w:pPr>
        <w:pStyle w:val="FootnoteText"/>
        <w:rPr>
          <w:rFonts w:ascii="Calibri" w:hAnsi="Calibri" w:cs="Calibri"/>
        </w:rPr>
      </w:pPr>
      <w:r w:rsidRPr="00FC76F5">
        <w:rPr>
          <w:rStyle w:val="FootnoteReference"/>
          <w:rFonts w:ascii="Calibri" w:hAnsi="Calibri" w:cs="Calibri"/>
        </w:rPr>
        <w:footnoteRef/>
      </w:r>
      <w:r w:rsidRPr="00FC76F5">
        <w:rPr>
          <w:rFonts w:ascii="Calibri" w:hAnsi="Calibri" w:cs="Calibri"/>
        </w:rPr>
        <w:t xml:space="preserve"> </w:t>
      </w:r>
      <w:r w:rsidRPr="00FC76F5">
        <w:rPr>
          <w:rFonts w:ascii="Calibri" w:hAnsi="Calibri" w:cs="Calibri"/>
          <w:i/>
          <w:iCs/>
        </w:rPr>
        <w:t>Acacia Mutual Life Insurance Company v. United States of America U. S. District Court</w:t>
      </w:r>
      <w:r w:rsidRPr="00FC76F5">
        <w:rPr>
          <w:rFonts w:ascii="Calibri" w:hAnsi="Calibri" w:cs="Calibri"/>
        </w:rPr>
        <w:t xml:space="preserve">, Dist. Md., Civil No. 16469, 272 F. Supp. 188, (July 26, 1967) and </w:t>
      </w:r>
      <w:r w:rsidRPr="00FC76F5">
        <w:rPr>
          <w:rFonts w:ascii="Calibri" w:hAnsi="Calibri" w:cs="Calibri"/>
          <w:i/>
          <w:iCs/>
        </w:rPr>
        <w:t>United States v. Gotcher</w:t>
      </w:r>
      <w:r w:rsidRPr="00FC76F5">
        <w:rPr>
          <w:rFonts w:ascii="Calibri" w:hAnsi="Calibri" w:cs="Calibri"/>
        </w:rPr>
        <w:t xml:space="preserve"> 401 F.2d 118 (5th Cir. 1968)</w:t>
      </w:r>
    </w:p>
  </w:footnote>
  <w:footnote w:id="3">
    <w:p w14:paraId="082CC768" w14:textId="6875719D" w:rsidR="002F7604" w:rsidRDefault="002F7604">
      <w:pPr>
        <w:pStyle w:val="FootnoteText"/>
      </w:pPr>
      <w:r w:rsidRPr="00FC76F5">
        <w:rPr>
          <w:rStyle w:val="FootnoteReference"/>
          <w:rFonts w:ascii="Calibri" w:hAnsi="Calibri" w:cs="Calibri"/>
        </w:rPr>
        <w:footnoteRef/>
      </w:r>
      <w:r w:rsidRPr="00FC76F5">
        <w:rPr>
          <w:rFonts w:ascii="Calibri" w:hAnsi="Calibri" w:cs="Calibri"/>
        </w:rPr>
        <w:t xml:space="preserve"> Revenue Ruling 63-77</w:t>
      </w:r>
      <w:r w:rsidR="00FC76F5">
        <w:rPr>
          <w:rFonts w:ascii="Calibri" w:hAnsi="Calibri" w:cs="Calibri"/>
        </w:rPr>
        <w:t>.</w:t>
      </w:r>
    </w:p>
  </w:footnote>
  <w:footnote w:id="4">
    <w:p w14:paraId="6B9D73B9" w14:textId="55800980" w:rsidR="00757D93" w:rsidRPr="00DC24A9" w:rsidRDefault="00757D93">
      <w:pPr>
        <w:pStyle w:val="FootnoteText"/>
        <w:rPr>
          <w:rFonts w:asciiTheme="minorHAnsi" w:hAnsiTheme="minorHAnsi" w:cstheme="minorHAnsi"/>
        </w:rPr>
      </w:pPr>
      <w:r w:rsidRPr="00DC24A9">
        <w:rPr>
          <w:rStyle w:val="FootnoteReference"/>
          <w:rFonts w:asciiTheme="minorHAnsi" w:hAnsiTheme="minorHAnsi" w:cstheme="minorHAnsi"/>
        </w:rPr>
        <w:footnoteRef/>
      </w:r>
      <w:r w:rsidRPr="00DC24A9">
        <w:rPr>
          <w:rFonts w:asciiTheme="minorHAnsi" w:hAnsiTheme="minorHAnsi" w:cstheme="minorHAnsi"/>
        </w:rPr>
        <w:t xml:space="preserve"> </w:t>
      </w:r>
      <w:r w:rsidR="008D454A" w:rsidRPr="008D454A">
        <w:rPr>
          <w:rFonts w:asciiTheme="minorHAnsi" w:hAnsiTheme="minorHAnsi" w:cstheme="minorHAnsi"/>
        </w:rPr>
        <w:t xml:space="preserve">Relocation expenses include, but are not limited to, temporary housing, travel expenses for house-hunting trips, and moving expenses. Generally, interview travel must be roundtrip, with the candidate returning home, in order not to be considered relocation travel. Reimbursement of </w:t>
      </w:r>
      <w:r w:rsidR="00F0030E">
        <w:rPr>
          <w:rFonts w:asciiTheme="minorHAnsi" w:hAnsiTheme="minorHAnsi" w:cstheme="minorHAnsi"/>
        </w:rPr>
        <w:t>relocation</w:t>
      </w:r>
      <w:r w:rsidR="008D454A" w:rsidRPr="008D454A">
        <w:rPr>
          <w:rFonts w:asciiTheme="minorHAnsi" w:hAnsiTheme="minorHAnsi" w:cstheme="minorHAnsi"/>
        </w:rPr>
        <w:t xml:space="preserve"> expenses was made taxable under the Tax Cuts and Jobs Act of 2017 and permanently extended under the One Big Beautiful Bill Act of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DCE0" w14:textId="1413CE41" w:rsidR="00FD4605" w:rsidRDefault="00FD4605">
    <w:pPr>
      <w:pStyle w:val="Header"/>
    </w:pPr>
    <w:r>
      <w:t>Tax Policy</w:t>
    </w:r>
    <w:r w:rsidR="00DC24A9">
      <w:tab/>
    </w:r>
    <w:r>
      <w:t>T</w:t>
    </w:r>
    <w:r w:rsidR="00FC76F5">
      <w:t>ax-Free Reimbursement of</w:t>
    </w:r>
    <w:r w:rsidR="00E21BC1">
      <w:t xml:space="preserve"> </w:t>
    </w:r>
    <w:r>
      <w:t>Interview</w:t>
    </w:r>
    <w:r w:rsidR="00FC76F5">
      <w:t xml:space="preserve"> Travel Expenses </w:t>
    </w:r>
    <w:r>
      <w:tab/>
    </w:r>
    <w:r w:rsidR="00EF5363">
      <w:t>January 16</w:t>
    </w:r>
    <w:r>
      <w:t>,</w:t>
    </w:r>
    <w:r w:rsidR="00DC24A9">
      <w:t xml:space="preserve"> </w:t>
    </w:r>
    <w:r>
      <w:t>202</w:t>
    </w:r>
    <w:r w:rsidR="00EF536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D01"/>
    <w:multiLevelType w:val="hybridMultilevel"/>
    <w:tmpl w:val="5AF49934"/>
    <w:lvl w:ilvl="0" w:tplc="B6F44EF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0F5A2F"/>
    <w:multiLevelType w:val="hybridMultilevel"/>
    <w:tmpl w:val="EAE28A36"/>
    <w:lvl w:ilvl="0" w:tplc="ABCEA3B4">
      <w:start w:val="1"/>
      <w:numFmt w:val="decimal"/>
      <w:lvlText w:val="%1."/>
      <w:lvlJc w:val="left"/>
      <w:pPr>
        <w:ind w:left="347" w:hanging="2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267EC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2DA295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A93AC110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01F8E3BE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700A8D2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97401EE8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1C2AFD10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150A6B2C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535F05"/>
    <w:multiLevelType w:val="hybridMultilevel"/>
    <w:tmpl w:val="07C45E02"/>
    <w:lvl w:ilvl="0" w:tplc="26584268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1E76C7"/>
    <w:multiLevelType w:val="hybridMultilevel"/>
    <w:tmpl w:val="7E10A7CE"/>
    <w:lvl w:ilvl="0" w:tplc="A9D83C7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2267B"/>
    <w:multiLevelType w:val="multilevel"/>
    <w:tmpl w:val="F64A3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578A23A3"/>
    <w:multiLevelType w:val="hybridMultilevel"/>
    <w:tmpl w:val="B9BAA806"/>
    <w:lvl w:ilvl="0" w:tplc="6FF8FEA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7D7524"/>
    <w:multiLevelType w:val="hybridMultilevel"/>
    <w:tmpl w:val="AE7EAA1E"/>
    <w:lvl w:ilvl="0" w:tplc="F196A01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2F05EE"/>
    <w:multiLevelType w:val="hybridMultilevel"/>
    <w:tmpl w:val="D7AEEE6E"/>
    <w:lvl w:ilvl="0" w:tplc="04090001">
      <w:start w:val="1"/>
      <w:numFmt w:val="bullet"/>
      <w:lvlText w:val=""/>
      <w:lvlJc w:val="left"/>
      <w:pPr>
        <w:ind w:left="1464" w:hanging="248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9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C7E7C24"/>
    <w:multiLevelType w:val="hybridMultilevel"/>
    <w:tmpl w:val="CF74216A"/>
    <w:lvl w:ilvl="0" w:tplc="ABB4B0D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700379">
    <w:abstractNumId w:val="1"/>
  </w:num>
  <w:num w:numId="2" w16cid:durableId="2094232125">
    <w:abstractNumId w:val="8"/>
  </w:num>
  <w:num w:numId="3" w16cid:durableId="1620838579">
    <w:abstractNumId w:val="0"/>
  </w:num>
  <w:num w:numId="4" w16cid:durableId="1255087702">
    <w:abstractNumId w:val="6"/>
  </w:num>
  <w:num w:numId="5" w16cid:durableId="2027099718">
    <w:abstractNumId w:val="5"/>
  </w:num>
  <w:num w:numId="6" w16cid:durableId="1962496397">
    <w:abstractNumId w:val="3"/>
  </w:num>
  <w:num w:numId="7" w16cid:durableId="675503360">
    <w:abstractNumId w:val="2"/>
  </w:num>
  <w:num w:numId="8" w16cid:durableId="531766179">
    <w:abstractNumId w:val="7"/>
  </w:num>
  <w:num w:numId="9" w16cid:durableId="175639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htRCso7chz1lfH3em8WJn5kJvdbVMeXkAPJskvzdY5EmXHxtC2k/TsVTFJR9KOBwRyK4Jki/t5H6xEDYhjDnTw==" w:salt="PiXFZd/sC3VbPOUx/DYyS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D7"/>
    <w:rsid w:val="000023A4"/>
    <w:rsid w:val="00031699"/>
    <w:rsid w:val="00055FD3"/>
    <w:rsid w:val="0007273C"/>
    <w:rsid w:val="000A3E67"/>
    <w:rsid w:val="000E025D"/>
    <w:rsid w:val="00101B0B"/>
    <w:rsid w:val="0013709A"/>
    <w:rsid w:val="00143A50"/>
    <w:rsid w:val="001B0DB5"/>
    <w:rsid w:val="001C236E"/>
    <w:rsid w:val="001C76F6"/>
    <w:rsid w:val="001E5831"/>
    <w:rsid w:val="002074B0"/>
    <w:rsid w:val="002732B8"/>
    <w:rsid w:val="0028004C"/>
    <w:rsid w:val="002C4D1F"/>
    <w:rsid w:val="002D3649"/>
    <w:rsid w:val="002F7604"/>
    <w:rsid w:val="0035482D"/>
    <w:rsid w:val="00365C8D"/>
    <w:rsid w:val="003D12F9"/>
    <w:rsid w:val="003E0D33"/>
    <w:rsid w:val="003E1A56"/>
    <w:rsid w:val="00464B1A"/>
    <w:rsid w:val="004704C5"/>
    <w:rsid w:val="00496FA7"/>
    <w:rsid w:val="004A6AB2"/>
    <w:rsid w:val="004B2CA1"/>
    <w:rsid w:val="00500439"/>
    <w:rsid w:val="00521879"/>
    <w:rsid w:val="0052771D"/>
    <w:rsid w:val="00567868"/>
    <w:rsid w:val="006406D7"/>
    <w:rsid w:val="00675A57"/>
    <w:rsid w:val="00696D30"/>
    <w:rsid w:val="00701C14"/>
    <w:rsid w:val="007044A9"/>
    <w:rsid w:val="00712A14"/>
    <w:rsid w:val="00757D93"/>
    <w:rsid w:val="007B2D6A"/>
    <w:rsid w:val="00842074"/>
    <w:rsid w:val="00864C44"/>
    <w:rsid w:val="008A1EE6"/>
    <w:rsid w:val="008A7FF3"/>
    <w:rsid w:val="008B43A1"/>
    <w:rsid w:val="008D454A"/>
    <w:rsid w:val="00901104"/>
    <w:rsid w:val="009130A8"/>
    <w:rsid w:val="00931D73"/>
    <w:rsid w:val="00994BCD"/>
    <w:rsid w:val="009F24C7"/>
    <w:rsid w:val="00A20158"/>
    <w:rsid w:val="00A647F2"/>
    <w:rsid w:val="00A72E96"/>
    <w:rsid w:val="00A97D2F"/>
    <w:rsid w:val="00AC6DF7"/>
    <w:rsid w:val="00AF1737"/>
    <w:rsid w:val="00AF1F85"/>
    <w:rsid w:val="00B23A80"/>
    <w:rsid w:val="00B3005C"/>
    <w:rsid w:val="00B32A30"/>
    <w:rsid w:val="00BD099B"/>
    <w:rsid w:val="00BE1BE6"/>
    <w:rsid w:val="00BE77E1"/>
    <w:rsid w:val="00C13E54"/>
    <w:rsid w:val="00C16E1D"/>
    <w:rsid w:val="00C426DB"/>
    <w:rsid w:val="00C70457"/>
    <w:rsid w:val="00C92EAB"/>
    <w:rsid w:val="00C948D9"/>
    <w:rsid w:val="00CA2600"/>
    <w:rsid w:val="00CC67A6"/>
    <w:rsid w:val="00D07A72"/>
    <w:rsid w:val="00D26FB9"/>
    <w:rsid w:val="00D81621"/>
    <w:rsid w:val="00DB59D0"/>
    <w:rsid w:val="00DC24A9"/>
    <w:rsid w:val="00DF3B88"/>
    <w:rsid w:val="00E21BC1"/>
    <w:rsid w:val="00E25C58"/>
    <w:rsid w:val="00E4079E"/>
    <w:rsid w:val="00E418EF"/>
    <w:rsid w:val="00E838BF"/>
    <w:rsid w:val="00EA4237"/>
    <w:rsid w:val="00EF5363"/>
    <w:rsid w:val="00F0030E"/>
    <w:rsid w:val="00F14FD9"/>
    <w:rsid w:val="00F207B4"/>
    <w:rsid w:val="00F63204"/>
    <w:rsid w:val="00F6364E"/>
    <w:rsid w:val="00FC76F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30D17"/>
  <w15:docId w15:val="{20C0AEFF-7BE0-4DC8-98ED-A3403708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C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347" w:hanging="24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8004C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4C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23A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C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38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6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4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605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6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60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6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2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4A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4A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g.umich.edu/policy/201.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FC86-8BB2-4C45-B9EA-FAEB2454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thornm</dc:creator>
  <cp:lastModifiedBy>Glasco, Benjamin</cp:lastModifiedBy>
  <cp:revision>3</cp:revision>
  <dcterms:created xsi:type="dcterms:W3CDTF">2026-04-16T15:16:00Z</dcterms:created>
  <dcterms:modified xsi:type="dcterms:W3CDTF">2026-04-16T15:17:00Z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  <property fmtid="{D5CDD505-2E9C-101B-9397-08002B2CF9AE}" pid="5" name="Producer">
    <vt:lpwstr>Microsoft® Word 2016</vt:lpwstr>
  </property>
</Properties>
</file>