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41E9" w14:textId="5E7D03DE" w:rsidR="00276E88" w:rsidRPr="00276E88" w:rsidRDefault="008E21B1" w:rsidP="00276E88">
      <w:pPr>
        <w:jc w:val="right"/>
        <w:rPr>
          <w:rFonts w:ascii="Arial" w:hAnsi="Arial" w:cs="Arial"/>
          <w:sz w:val="18"/>
          <w:szCs w:val="18"/>
        </w:rPr>
      </w:pPr>
      <w:r>
        <w:rPr>
          <w:rFonts w:ascii="Arial" w:hAnsi="Arial" w:cs="Arial"/>
          <w:sz w:val="18"/>
          <w:szCs w:val="18"/>
        </w:rPr>
        <w:t>4</w:t>
      </w:r>
      <w:r w:rsidR="00276E88" w:rsidRPr="00276E88">
        <w:rPr>
          <w:rFonts w:ascii="Arial" w:hAnsi="Arial" w:cs="Arial"/>
          <w:sz w:val="18"/>
          <w:szCs w:val="18"/>
        </w:rPr>
        <w:t>/</w:t>
      </w:r>
      <w:r w:rsidR="00777C36">
        <w:rPr>
          <w:rFonts w:ascii="Arial" w:hAnsi="Arial" w:cs="Arial"/>
          <w:sz w:val="18"/>
          <w:szCs w:val="18"/>
        </w:rPr>
        <w:t>6</w:t>
      </w:r>
      <w:r w:rsidR="00276E88" w:rsidRPr="00276E88">
        <w:rPr>
          <w:rFonts w:ascii="Arial" w:hAnsi="Arial" w:cs="Arial"/>
          <w:sz w:val="18"/>
          <w:szCs w:val="18"/>
        </w:rPr>
        <w:t>/2</w:t>
      </w:r>
      <w:r>
        <w:rPr>
          <w:rFonts w:ascii="Arial" w:hAnsi="Arial" w:cs="Arial"/>
          <w:sz w:val="18"/>
          <w:szCs w:val="18"/>
        </w:rPr>
        <w:t>6</w:t>
      </w:r>
    </w:p>
    <w:p w14:paraId="05B85142" w14:textId="3500E245" w:rsidR="00736552" w:rsidRPr="006C5FA2" w:rsidRDefault="005F5DFE" w:rsidP="005F5DFE">
      <w:pPr>
        <w:jc w:val="center"/>
        <w:rPr>
          <w:rFonts w:ascii="Arial" w:hAnsi="Arial" w:cs="Arial"/>
          <w:b/>
          <w:bCs/>
        </w:rPr>
      </w:pPr>
      <w:r w:rsidRPr="006C5FA2">
        <w:rPr>
          <w:rFonts w:ascii="Arial" w:hAnsi="Arial" w:cs="Arial"/>
          <w:b/>
          <w:bCs/>
        </w:rPr>
        <w:t>Acceptable University Phone Systems to Accept Credit Card Data</w:t>
      </w:r>
    </w:p>
    <w:p w14:paraId="078727C0" w14:textId="77777777" w:rsidR="0082473E" w:rsidRPr="0082473E" w:rsidRDefault="008B590D" w:rsidP="0082473E">
      <w:pPr>
        <w:rPr>
          <w:rFonts w:ascii="Arial" w:hAnsi="Arial" w:cs="Arial"/>
          <w:sz w:val="22"/>
          <w:szCs w:val="22"/>
        </w:rPr>
      </w:pPr>
      <w:r w:rsidRPr="009E14B6">
        <w:rPr>
          <w:rFonts w:ascii="Arial" w:hAnsi="Arial" w:cs="Arial"/>
          <w:sz w:val="22"/>
          <w:szCs w:val="22"/>
        </w:rPr>
        <w:br/>
      </w:r>
      <w:r w:rsidR="0082473E" w:rsidRPr="0082473E">
        <w:rPr>
          <w:rFonts w:ascii="Arial" w:hAnsi="Arial" w:cs="Arial"/>
          <w:sz w:val="22"/>
          <w:szCs w:val="22"/>
        </w:rPr>
        <w:t xml:space="preserve">The University of Michigan is required to maintain PCI compliance by following the Payment Card Industry Data Security Standard (PCI DSS). These standards are designed to safeguard credit card information, including when it is received over the phone, and </w:t>
      </w:r>
      <w:proofErr w:type="gramStart"/>
      <w:r w:rsidR="0082473E" w:rsidRPr="0082473E">
        <w:rPr>
          <w:rFonts w:ascii="Arial" w:hAnsi="Arial" w:cs="Arial"/>
          <w:sz w:val="22"/>
          <w:szCs w:val="22"/>
        </w:rPr>
        <w:t>applies</w:t>
      </w:r>
      <w:proofErr w:type="gramEnd"/>
      <w:r w:rsidR="0082473E" w:rsidRPr="0082473E">
        <w:rPr>
          <w:rFonts w:ascii="Arial" w:hAnsi="Arial" w:cs="Arial"/>
          <w:sz w:val="22"/>
          <w:szCs w:val="22"/>
        </w:rPr>
        <w:t xml:space="preserve"> to all U-M campuses: Ann Arbor, Michigan Medicine, Dearborn and Flint. </w:t>
      </w:r>
    </w:p>
    <w:p w14:paraId="670CA74C" w14:textId="77777777" w:rsidR="0082473E" w:rsidRPr="0082473E" w:rsidRDefault="0082473E" w:rsidP="0082473E">
      <w:pPr>
        <w:rPr>
          <w:rFonts w:ascii="Arial" w:hAnsi="Arial" w:cs="Arial"/>
          <w:color w:val="4C94D8" w:themeColor="text2" w:themeTint="80"/>
          <w:sz w:val="22"/>
          <w:szCs w:val="22"/>
        </w:rPr>
      </w:pPr>
      <w:r w:rsidRPr="0082473E">
        <w:rPr>
          <w:rFonts w:ascii="Arial" w:hAnsi="Arial" w:cs="Arial"/>
          <w:b/>
          <w:bCs/>
          <w:color w:val="4C94D8" w:themeColor="text2" w:themeTint="80"/>
          <w:sz w:val="22"/>
          <w:szCs w:val="22"/>
        </w:rPr>
        <w:t>Michigan Medicine</w:t>
      </w:r>
    </w:p>
    <w:p w14:paraId="6B7AF170" w14:textId="30ADB6DC" w:rsidR="0082473E" w:rsidRPr="0082473E" w:rsidRDefault="0082473E" w:rsidP="0082473E">
      <w:pPr>
        <w:rPr>
          <w:rFonts w:ascii="Arial" w:hAnsi="Arial" w:cs="Arial"/>
          <w:sz w:val="22"/>
          <w:szCs w:val="22"/>
        </w:rPr>
      </w:pPr>
      <w:r w:rsidRPr="0082473E">
        <w:rPr>
          <w:rFonts w:ascii="Arial" w:hAnsi="Arial" w:cs="Arial"/>
          <w:sz w:val="22"/>
          <w:szCs w:val="22"/>
        </w:rPr>
        <w:t xml:space="preserve">The Michigan Medicine CISCO </w:t>
      </w:r>
      <w:r w:rsidR="008E21B1">
        <w:rPr>
          <w:rFonts w:ascii="Arial" w:hAnsi="Arial" w:cs="Arial"/>
          <w:sz w:val="22"/>
          <w:szCs w:val="22"/>
        </w:rPr>
        <w:t>Voice over Internet Protocol (</w:t>
      </w:r>
      <w:r w:rsidRPr="0082473E">
        <w:rPr>
          <w:rFonts w:ascii="Arial" w:hAnsi="Arial" w:cs="Arial"/>
          <w:sz w:val="22"/>
          <w:szCs w:val="22"/>
        </w:rPr>
        <w:t>VoIP</w:t>
      </w:r>
      <w:r w:rsidR="008E21B1">
        <w:rPr>
          <w:rFonts w:ascii="Arial" w:hAnsi="Arial" w:cs="Arial"/>
          <w:sz w:val="22"/>
          <w:szCs w:val="22"/>
        </w:rPr>
        <w:t>)</w:t>
      </w:r>
      <w:r w:rsidRPr="0082473E">
        <w:rPr>
          <w:rFonts w:ascii="Arial" w:hAnsi="Arial" w:cs="Arial"/>
          <w:sz w:val="22"/>
          <w:szCs w:val="22"/>
        </w:rPr>
        <w:t xml:space="preserve"> phone system currently is not PCI compliant and Michigan Medicine departments must not receive or record credit card data over their phones.  </w:t>
      </w:r>
      <w:r w:rsidR="008E21B1">
        <w:rPr>
          <w:rFonts w:ascii="Arial" w:hAnsi="Arial" w:cs="Arial"/>
          <w:sz w:val="22"/>
          <w:szCs w:val="22"/>
        </w:rPr>
        <w:t xml:space="preserve">Michigan Medicine HITS may have PCI compliant CISCO alternative.  Submit a Service Now HITS support ticket to ascertain if CISCO </w:t>
      </w:r>
      <w:proofErr w:type="spellStart"/>
      <w:r w:rsidR="008E21B1">
        <w:rPr>
          <w:rFonts w:ascii="Arial" w:hAnsi="Arial" w:cs="Arial"/>
          <w:sz w:val="22"/>
          <w:szCs w:val="22"/>
        </w:rPr>
        <w:t>WebEx</w:t>
      </w:r>
      <w:proofErr w:type="spellEnd"/>
      <w:r w:rsidR="008E21B1">
        <w:rPr>
          <w:rFonts w:ascii="Arial" w:hAnsi="Arial" w:cs="Arial"/>
          <w:sz w:val="22"/>
          <w:szCs w:val="22"/>
        </w:rPr>
        <w:t xml:space="preserve"> Contact Center solution is applicable to you.</w:t>
      </w:r>
    </w:p>
    <w:p w14:paraId="668D45EE" w14:textId="77777777" w:rsidR="0082473E" w:rsidRPr="0082473E" w:rsidRDefault="0082473E" w:rsidP="0082473E">
      <w:pPr>
        <w:rPr>
          <w:rFonts w:ascii="Arial" w:hAnsi="Arial" w:cs="Arial"/>
          <w:color w:val="4C94D8" w:themeColor="text2" w:themeTint="80"/>
          <w:sz w:val="22"/>
          <w:szCs w:val="22"/>
        </w:rPr>
      </w:pPr>
      <w:r w:rsidRPr="0082473E">
        <w:rPr>
          <w:rFonts w:ascii="Arial" w:hAnsi="Arial" w:cs="Arial"/>
          <w:b/>
          <w:bCs/>
          <w:color w:val="4C94D8" w:themeColor="text2" w:themeTint="80"/>
          <w:sz w:val="22"/>
          <w:szCs w:val="22"/>
        </w:rPr>
        <w:t>Ann Arbor, Dearborn and Flint Campuses</w:t>
      </w:r>
    </w:p>
    <w:p w14:paraId="54C09932" w14:textId="77777777" w:rsidR="0082473E" w:rsidRPr="0082473E" w:rsidRDefault="0082473E" w:rsidP="0082473E">
      <w:pPr>
        <w:rPr>
          <w:rFonts w:ascii="Arial" w:hAnsi="Arial" w:cs="Arial"/>
          <w:sz w:val="22"/>
          <w:szCs w:val="22"/>
        </w:rPr>
      </w:pPr>
      <w:r w:rsidRPr="0082473E">
        <w:rPr>
          <w:rFonts w:ascii="Arial" w:hAnsi="Arial" w:cs="Arial"/>
          <w:b/>
          <w:bCs/>
          <w:sz w:val="22"/>
          <w:szCs w:val="22"/>
        </w:rPr>
        <w:t>Compliant phone options</w:t>
      </w:r>
    </w:p>
    <w:p w14:paraId="7BC1F5EB" w14:textId="210F9BDD" w:rsidR="0082473E" w:rsidRPr="0082473E" w:rsidRDefault="0082473E" w:rsidP="0082473E">
      <w:pPr>
        <w:rPr>
          <w:rFonts w:ascii="Arial" w:hAnsi="Arial" w:cs="Arial"/>
          <w:sz w:val="22"/>
          <w:szCs w:val="22"/>
        </w:rPr>
      </w:pPr>
      <w:r w:rsidRPr="0082473E">
        <w:rPr>
          <w:rFonts w:ascii="Arial" w:hAnsi="Arial" w:cs="Arial"/>
          <w:sz w:val="22"/>
          <w:szCs w:val="22"/>
        </w:rPr>
        <w:t xml:space="preserve">Information and Technology Services (ITS) </w:t>
      </w:r>
      <w:r w:rsidR="008E21B1">
        <w:rPr>
          <w:rFonts w:ascii="Arial" w:hAnsi="Arial" w:cs="Arial"/>
          <w:sz w:val="22"/>
          <w:szCs w:val="22"/>
        </w:rPr>
        <w:t>ha</w:t>
      </w:r>
      <w:r w:rsidRPr="0082473E">
        <w:rPr>
          <w:rFonts w:ascii="Arial" w:hAnsi="Arial" w:cs="Arial"/>
          <w:sz w:val="22"/>
          <w:szCs w:val="22"/>
        </w:rPr>
        <w:t>s transition</w:t>
      </w:r>
      <w:r w:rsidR="008E21B1">
        <w:rPr>
          <w:rFonts w:ascii="Arial" w:hAnsi="Arial" w:cs="Arial"/>
          <w:sz w:val="22"/>
          <w:szCs w:val="22"/>
        </w:rPr>
        <w:t>ed</w:t>
      </w:r>
      <w:r w:rsidRPr="0082473E">
        <w:rPr>
          <w:rFonts w:ascii="Arial" w:hAnsi="Arial" w:cs="Arial"/>
          <w:sz w:val="22"/>
          <w:szCs w:val="22"/>
        </w:rPr>
        <w:t xml:space="preserve"> campus phone systems to Zoom VoIP. The following U-M phone services are approved for accepting verbal credit card data - although </w:t>
      </w:r>
      <w:proofErr w:type="gramStart"/>
      <w:r w:rsidRPr="0082473E">
        <w:rPr>
          <w:rFonts w:ascii="Arial" w:hAnsi="Arial" w:cs="Arial"/>
          <w:sz w:val="22"/>
          <w:szCs w:val="22"/>
        </w:rPr>
        <w:t>no</w:t>
      </w:r>
      <w:proofErr w:type="gramEnd"/>
      <w:r w:rsidRPr="0082473E">
        <w:rPr>
          <w:rFonts w:ascii="Arial" w:hAnsi="Arial" w:cs="Arial"/>
          <w:sz w:val="22"/>
          <w:szCs w:val="22"/>
        </w:rPr>
        <w:t xml:space="preserve"> recordings of credit card data:</w:t>
      </w:r>
    </w:p>
    <w:p w14:paraId="488B98B9" w14:textId="77777777" w:rsidR="0082473E" w:rsidRPr="0082473E" w:rsidRDefault="0082473E" w:rsidP="0082473E">
      <w:pPr>
        <w:numPr>
          <w:ilvl w:val="0"/>
          <w:numId w:val="12"/>
        </w:numPr>
        <w:rPr>
          <w:rFonts w:ascii="Arial" w:hAnsi="Arial" w:cs="Arial"/>
          <w:sz w:val="22"/>
          <w:szCs w:val="22"/>
        </w:rPr>
      </w:pPr>
      <w:r w:rsidRPr="0082473E">
        <w:rPr>
          <w:rFonts w:ascii="Arial" w:hAnsi="Arial" w:cs="Arial"/>
          <w:sz w:val="22"/>
          <w:szCs w:val="22"/>
        </w:rPr>
        <w:t xml:space="preserve">Zoom-based common-area </w:t>
      </w:r>
      <w:proofErr w:type="spellStart"/>
      <w:r w:rsidRPr="0082473E">
        <w:rPr>
          <w:rFonts w:ascii="Arial" w:hAnsi="Arial" w:cs="Arial"/>
          <w:sz w:val="22"/>
          <w:szCs w:val="22"/>
        </w:rPr>
        <w:t>deskset</w:t>
      </w:r>
      <w:proofErr w:type="spellEnd"/>
      <w:r w:rsidRPr="0082473E">
        <w:rPr>
          <w:rFonts w:ascii="Arial" w:hAnsi="Arial" w:cs="Arial"/>
          <w:sz w:val="22"/>
          <w:szCs w:val="22"/>
        </w:rPr>
        <w:t xml:space="preserve"> phone with recording, call-forwarding and voicemail features </w:t>
      </w:r>
      <w:r w:rsidRPr="0082473E">
        <w:rPr>
          <w:rFonts w:ascii="Arial" w:hAnsi="Arial" w:cs="Arial"/>
          <w:i/>
          <w:iCs/>
          <w:sz w:val="22"/>
          <w:szCs w:val="22"/>
        </w:rPr>
        <w:t>disabled</w:t>
      </w:r>
      <w:r w:rsidRPr="0082473E">
        <w:rPr>
          <w:rFonts w:ascii="Arial" w:hAnsi="Arial" w:cs="Arial"/>
          <w:sz w:val="22"/>
          <w:szCs w:val="22"/>
        </w:rPr>
        <w:t>. These can be deployed both on campus and at remote locations.</w:t>
      </w:r>
    </w:p>
    <w:p w14:paraId="2E6ECC9F" w14:textId="084EB5C7" w:rsidR="0082473E" w:rsidRPr="0082473E" w:rsidRDefault="0082473E" w:rsidP="0082473E">
      <w:pPr>
        <w:numPr>
          <w:ilvl w:val="0"/>
          <w:numId w:val="12"/>
        </w:numPr>
        <w:rPr>
          <w:rFonts w:ascii="Arial" w:hAnsi="Arial" w:cs="Arial"/>
          <w:sz w:val="22"/>
          <w:szCs w:val="22"/>
        </w:rPr>
      </w:pPr>
      <w:r w:rsidRPr="0082473E">
        <w:rPr>
          <w:rFonts w:ascii="Arial" w:hAnsi="Arial" w:cs="Arial"/>
          <w:sz w:val="22"/>
          <w:szCs w:val="22"/>
        </w:rPr>
        <w:t xml:space="preserve">Merchants can obtain “dumb” cell phones through </w:t>
      </w:r>
      <w:hyperlink r:id="rId7" w:history="1">
        <w:r w:rsidRPr="0082473E">
          <w:rPr>
            <w:rStyle w:val="Hyperlink"/>
            <w:rFonts w:ascii="Arial" w:hAnsi="Arial" w:cs="Arial"/>
            <w:sz w:val="22"/>
            <w:szCs w:val="22"/>
          </w:rPr>
          <w:t>U-M Procurement</w:t>
        </w:r>
      </w:hyperlink>
      <w:r w:rsidRPr="0082473E">
        <w:rPr>
          <w:rFonts w:ascii="Arial" w:hAnsi="Arial" w:cs="Arial"/>
          <w:sz w:val="22"/>
          <w:szCs w:val="22"/>
        </w:rPr>
        <w:t>.  These phones should not have access to the Internet, email, social media, WIFI, etc. and only function with cellular service.</w:t>
      </w:r>
      <w:r w:rsidR="008E21B1">
        <w:rPr>
          <w:rFonts w:ascii="Arial" w:hAnsi="Arial" w:cs="Arial"/>
          <w:sz w:val="22"/>
          <w:szCs w:val="22"/>
        </w:rPr>
        <w:t xml:space="preserve">  Contact </w:t>
      </w:r>
      <w:hyperlink r:id="rId8" w:history="1">
        <w:r w:rsidR="00D809F0" w:rsidRPr="00653048">
          <w:rPr>
            <w:rStyle w:val="Hyperlink"/>
            <w:rFonts w:ascii="Arial" w:hAnsi="Arial" w:cs="Arial"/>
            <w:sz w:val="22"/>
            <w:szCs w:val="22"/>
          </w:rPr>
          <w:t>PCIcompliance@umich.edu</w:t>
        </w:r>
      </w:hyperlink>
      <w:r w:rsidR="008E21B1">
        <w:rPr>
          <w:rFonts w:ascii="Arial" w:hAnsi="Arial" w:cs="Arial"/>
          <w:sz w:val="22"/>
          <w:szCs w:val="22"/>
        </w:rPr>
        <w:t xml:space="preserve"> for additional information.</w:t>
      </w:r>
    </w:p>
    <w:p w14:paraId="6BACBA50" w14:textId="0B183914" w:rsidR="0082473E" w:rsidRPr="0082473E" w:rsidRDefault="0082473E" w:rsidP="0082473E">
      <w:pPr>
        <w:numPr>
          <w:ilvl w:val="0"/>
          <w:numId w:val="12"/>
        </w:numPr>
        <w:rPr>
          <w:rFonts w:ascii="Arial" w:hAnsi="Arial" w:cs="Arial"/>
          <w:sz w:val="22"/>
          <w:szCs w:val="22"/>
        </w:rPr>
      </w:pPr>
      <w:r w:rsidRPr="0082473E">
        <w:rPr>
          <w:rFonts w:ascii="Arial" w:hAnsi="Arial" w:cs="Arial"/>
          <w:sz w:val="22"/>
          <w:szCs w:val="22"/>
        </w:rPr>
        <w:t xml:space="preserve">Optionally, contact </w:t>
      </w:r>
      <w:r w:rsidR="008E21B1">
        <w:rPr>
          <w:rFonts w:ascii="Arial" w:hAnsi="Arial" w:cs="Arial"/>
          <w:sz w:val="22"/>
          <w:szCs w:val="22"/>
        </w:rPr>
        <w:t>merchantservices@umich.edu</w:t>
      </w:r>
      <w:r w:rsidRPr="0082473E">
        <w:rPr>
          <w:rFonts w:ascii="Arial" w:hAnsi="Arial" w:cs="Arial"/>
          <w:sz w:val="22"/>
          <w:szCs w:val="22"/>
        </w:rPr>
        <w:t xml:space="preserve"> about changing processes to an online solution.</w:t>
      </w:r>
    </w:p>
    <w:p w14:paraId="5C748500" w14:textId="77777777" w:rsidR="0082473E" w:rsidRPr="0082473E" w:rsidRDefault="0082473E" w:rsidP="0082473E">
      <w:pPr>
        <w:rPr>
          <w:rFonts w:ascii="Arial" w:hAnsi="Arial" w:cs="Arial"/>
          <w:sz w:val="22"/>
          <w:szCs w:val="22"/>
        </w:rPr>
      </w:pPr>
      <w:r w:rsidRPr="0082473E">
        <w:rPr>
          <w:rFonts w:ascii="Arial" w:hAnsi="Arial" w:cs="Arial"/>
          <w:b/>
          <w:bCs/>
          <w:sz w:val="22"/>
          <w:szCs w:val="22"/>
        </w:rPr>
        <w:br/>
        <w:t>Non-compliant phones</w:t>
      </w:r>
      <w:r w:rsidRPr="0082473E">
        <w:rPr>
          <w:rFonts w:ascii="Arial" w:hAnsi="Arial" w:cs="Arial"/>
          <w:b/>
          <w:bCs/>
          <w:sz w:val="22"/>
          <w:szCs w:val="22"/>
        </w:rPr>
        <w:br/>
      </w:r>
      <w:r w:rsidRPr="0082473E">
        <w:rPr>
          <w:rFonts w:ascii="Arial" w:hAnsi="Arial" w:cs="Arial"/>
          <w:sz w:val="22"/>
          <w:szCs w:val="22"/>
        </w:rPr>
        <w:t>The following forms of telephone service should</w:t>
      </w:r>
      <w:r w:rsidRPr="0082473E">
        <w:rPr>
          <w:rFonts w:ascii="Arial" w:hAnsi="Arial" w:cs="Arial"/>
          <w:b/>
          <w:bCs/>
          <w:i/>
          <w:iCs/>
          <w:sz w:val="22"/>
          <w:szCs w:val="22"/>
        </w:rPr>
        <w:t xml:space="preserve"> not </w:t>
      </w:r>
      <w:r w:rsidRPr="0082473E">
        <w:rPr>
          <w:rFonts w:ascii="Arial" w:hAnsi="Arial" w:cs="Arial"/>
          <w:sz w:val="22"/>
          <w:szCs w:val="22"/>
        </w:rPr>
        <w:t>be used</w:t>
      </w:r>
      <w:r w:rsidRPr="0082473E">
        <w:rPr>
          <w:rFonts w:ascii="Arial" w:hAnsi="Arial" w:cs="Arial"/>
          <w:b/>
          <w:bCs/>
          <w:i/>
          <w:iCs/>
          <w:sz w:val="22"/>
          <w:szCs w:val="22"/>
        </w:rPr>
        <w:t xml:space="preserve"> </w:t>
      </w:r>
      <w:r w:rsidRPr="0082473E">
        <w:rPr>
          <w:rFonts w:ascii="Arial" w:hAnsi="Arial" w:cs="Arial"/>
          <w:sz w:val="22"/>
          <w:szCs w:val="22"/>
        </w:rPr>
        <w:t>to receive credit cardholder data:</w:t>
      </w:r>
    </w:p>
    <w:p w14:paraId="7D1F273D" w14:textId="77777777" w:rsidR="0082473E" w:rsidRPr="0082473E" w:rsidRDefault="0082473E" w:rsidP="0082473E">
      <w:pPr>
        <w:numPr>
          <w:ilvl w:val="0"/>
          <w:numId w:val="13"/>
        </w:numPr>
        <w:rPr>
          <w:rFonts w:ascii="Arial" w:hAnsi="Arial" w:cs="Arial"/>
          <w:sz w:val="22"/>
          <w:szCs w:val="22"/>
        </w:rPr>
      </w:pPr>
      <w:r w:rsidRPr="0082473E">
        <w:rPr>
          <w:rFonts w:ascii="Arial" w:hAnsi="Arial" w:cs="Arial"/>
          <w:sz w:val="22"/>
          <w:szCs w:val="22"/>
        </w:rPr>
        <w:t xml:space="preserve">Zoom softphone tied to a user’s </w:t>
      </w:r>
      <w:proofErr w:type="spellStart"/>
      <w:r w:rsidRPr="0082473E">
        <w:rPr>
          <w:rFonts w:ascii="Arial" w:hAnsi="Arial" w:cs="Arial"/>
          <w:sz w:val="22"/>
          <w:szCs w:val="22"/>
        </w:rPr>
        <w:t>uniqname</w:t>
      </w:r>
      <w:proofErr w:type="spellEnd"/>
      <w:r w:rsidRPr="0082473E">
        <w:rPr>
          <w:rFonts w:ascii="Arial" w:hAnsi="Arial" w:cs="Arial"/>
          <w:sz w:val="22"/>
          <w:szCs w:val="22"/>
        </w:rPr>
        <w:t xml:space="preserve">, even if implemented on a </w:t>
      </w:r>
      <w:proofErr w:type="spellStart"/>
      <w:r w:rsidRPr="0082473E">
        <w:rPr>
          <w:rFonts w:ascii="Arial" w:hAnsi="Arial" w:cs="Arial"/>
          <w:sz w:val="22"/>
          <w:szCs w:val="22"/>
        </w:rPr>
        <w:t>deskset</w:t>
      </w:r>
      <w:proofErr w:type="spellEnd"/>
    </w:p>
    <w:p w14:paraId="2F3151FC" w14:textId="5959154B" w:rsidR="0082473E" w:rsidRPr="0082473E" w:rsidRDefault="0082473E" w:rsidP="0082473E">
      <w:pPr>
        <w:numPr>
          <w:ilvl w:val="0"/>
          <w:numId w:val="13"/>
        </w:numPr>
        <w:rPr>
          <w:rFonts w:ascii="Arial" w:hAnsi="Arial" w:cs="Arial"/>
          <w:sz w:val="22"/>
          <w:szCs w:val="22"/>
        </w:rPr>
      </w:pPr>
      <w:r w:rsidRPr="0082473E">
        <w:rPr>
          <w:rFonts w:ascii="Arial" w:hAnsi="Arial" w:cs="Arial"/>
          <w:sz w:val="22"/>
          <w:szCs w:val="22"/>
        </w:rPr>
        <w:t xml:space="preserve">The Cisco Jabber softphone </w:t>
      </w:r>
      <w:r w:rsidR="00D809F0">
        <w:rPr>
          <w:rFonts w:ascii="Arial" w:hAnsi="Arial" w:cs="Arial"/>
          <w:sz w:val="22"/>
          <w:szCs w:val="22"/>
        </w:rPr>
        <w:t xml:space="preserve">(headset) </w:t>
      </w:r>
      <w:r w:rsidRPr="0082473E">
        <w:rPr>
          <w:rFonts w:ascii="Arial" w:hAnsi="Arial" w:cs="Arial"/>
          <w:sz w:val="22"/>
          <w:szCs w:val="22"/>
        </w:rPr>
        <w:t>client</w:t>
      </w:r>
    </w:p>
    <w:p w14:paraId="12231015" w14:textId="618B8349" w:rsidR="0082473E" w:rsidRPr="0082473E" w:rsidRDefault="0082473E" w:rsidP="0082473E">
      <w:pPr>
        <w:numPr>
          <w:ilvl w:val="0"/>
          <w:numId w:val="13"/>
        </w:numPr>
        <w:rPr>
          <w:rFonts w:ascii="Arial" w:hAnsi="Arial" w:cs="Arial"/>
          <w:sz w:val="22"/>
          <w:szCs w:val="22"/>
        </w:rPr>
      </w:pPr>
      <w:r w:rsidRPr="0082473E">
        <w:rPr>
          <w:rFonts w:ascii="Arial" w:hAnsi="Arial" w:cs="Arial"/>
          <w:sz w:val="22"/>
          <w:szCs w:val="22"/>
        </w:rPr>
        <w:t>Amazon Connect call center</w:t>
      </w:r>
      <w:r w:rsidR="00D809F0">
        <w:rPr>
          <w:rFonts w:ascii="Arial" w:hAnsi="Arial" w:cs="Arial"/>
          <w:sz w:val="22"/>
          <w:szCs w:val="22"/>
        </w:rPr>
        <w:t xml:space="preserve"> without Treasury approval</w:t>
      </w:r>
    </w:p>
    <w:p w14:paraId="662CBFCE" w14:textId="77777777" w:rsidR="0082473E" w:rsidRPr="0082473E" w:rsidRDefault="0082473E" w:rsidP="0082473E">
      <w:pPr>
        <w:rPr>
          <w:rFonts w:ascii="Arial" w:hAnsi="Arial" w:cs="Arial"/>
          <w:sz w:val="22"/>
          <w:szCs w:val="22"/>
        </w:rPr>
      </w:pPr>
      <w:r w:rsidRPr="0082473E">
        <w:rPr>
          <w:rFonts w:ascii="Arial" w:hAnsi="Arial" w:cs="Arial"/>
          <w:sz w:val="22"/>
          <w:szCs w:val="22"/>
        </w:rPr>
        <w:t>If you are a campus department and have questions about acceptable phone systems for processing credit card payments, please contact the ITS Infrastructure Telephone Team at </w:t>
      </w:r>
      <w:hyperlink r:id="rId9" w:history="1">
        <w:r w:rsidRPr="0082473E">
          <w:rPr>
            <w:rStyle w:val="Hyperlink"/>
            <w:rFonts w:ascii="Arial" w:hAnsi="Arial" w:cs="Arial"/>
            <w:sz w:val="22"/>
            <w:szCs w:val="22"/>
          </w:rPr>
          <w:t>its-inf-csr@umich.edu</w:t>
        </w:r>
      </w:hyperlink>
      <w:r w:rsidRPr="0082473E">
        <w:rPr>
          <w:rFonts w:ascii="Arial" w:hAnsi="Arial" w:cs="Arial"/>
          <w:sz w:val="22"/>
          <w:szCs w:val="22"/>
        </w:rPr>
        <w:t xml:space="preserve">.  PCI compliance questions can be directed to </w:t>
      </w:r>
      <w:hyperlink r:id="rId10" w:history="1">
        <w:r w:rsidRPr="0082473E">
          <w:rPr>
            <w:rStyle w:val="Hyperlink"/>
            <w:rFonts w:ascii="Arial" w:hAnsi="Arial" w:cs="Arial"/>
            <w:sz w:val="22"/>
            <w:szCs w:val="22"/>
          </w:rPr>
          <w:t>PCIcompliance@umich.edu</w:t>
        </w:r>
      </w:hyperlink>
      <w:r w:rsidRPr="0082473E">
        <w:rPr>
          <w:rFonts w:ascii="Arial" w:hAnsi="Arial" w:cs="Arial"/>
          <w:sz w:val="22"/>
          <w:szCs w:val="22"/>
        </w:rPr>
        <w:t>.</w:t>
      </w:r>
    </w:p>
    <w:p w14:paraId="5BF6FFAD" w14:textId="5DC73B4B" w:rsidR="009E14B6" w:rsidRDefault="009E14B6" w:rsidP="0082473E">
      <w:pPr>
        <w:rPr>
          <w:rFonts w:ascii="Arial" w:hAnsi="Arial" w:cs="Arial"/>
          <w:sz w:val="22"/>
          <w:szCs w:val="22"/>
        </w:rPr>
      </w:pPr>
    </w:p>
    <w:p w14:paraId="1C79BAAB" w14:textId="74E3C79E" w:rsidR="009E14B6" w:rsidRPr="009E14B6" w:rsidRDefault="009E14B6" w:rsidP="00E60553">
      <w:pPr>
        <w:rPr>
          <w:rFonts w:ascii="Arial" w:hAnsi="Arial" w:cs="Arial"/>
          <w:b/>
          <w:bCs/>
          <w:sz w:val="22"/>
          <w:szCs w:val="22"/>
        </w:rPr>
      </w:pPr>
      <w:r w:rsidRPr="0095062F">
        <w:rPr>
          <w:rFonts w:ascii="Arial" w:hAnsi="Arial" w:cs="Arial"/>
          <w:b/>
          <w:bCs/>
          <w:sz w:val="28"/>
          <w:szCs w:val="28"/>
        </w:rPr>
        <w:lastRenderedPageBreak/>
        <w:t>Additional VOIP Guidance from ITS Information Assurance</w:t>
      </w:r>
      <w:r w:rsidRPr="0095062F">
        <w:rPr>
          <w:rFonts w:ascii="Arial" w:hAnsi="Arial" w:cs="Arial"/>
          <w:sz w:val="16"/>
          <w:szCs w:val="16"/>
        </w:rPr>
        <w:t xml:space="preserve">                   </w:t>
      </w:r>
      <w:r w:rsidRPr="009E14B6">
        <w:rPr>
          <w:rFonts w:ascii="Arial" w:hAnsi="Arial" w:cs="Arial"/>
          <w:sz w:val="16"/>
          <w:szCs w:val="16"/>
        </w:rPr>
        <w:t>8/13/25</w:t>
      </w:r>
    </w:p>
    <w:p w14:paraId="096FEF11" w14:textId="77777777" w:rsidR="009E14B6" w:rsidRDefault="009E14B6" w:rsidP="009E14B6">
      <w:pPr>
        <w:rPr>
          <w:rFonts w:ascii="Arial" w:hAnsi="Arial" w:cs="Arial"/>
          <w:sz w:val="22"/>
          <w:szCs w:val="22"/>
        </w:rPr>
      </w:pPr>
    </w:p>
    <w:p w14:paraId="3ADADE65" w14:textId="3B2EB203" w:rsidR="009E14B6" w:rsidRPr="009E14B6" w:rsidRDefault="009E14B6" w:rsidP="009E14B6">
      <w:pPr>
        <w:rPr>
          <w:rFonts w:ascii="Arial" w:hAnsi="Arial" w:cs="Arial"/>
          <w:sz w:val="22"/>
          <w:szCs w:val="22"/>
        </w:rPr>
      </w:pPr>
      <w:r w:rsidRPr="009E14B6">
        <w:rPr>
          <w:rFonts w:ascii="Arial" w:hAnsi="Arial" w:cs="Arial"/>
          <w:sz w:val="22"/>
          <w:szCs w:val="22"/>
        </w:rPr>
        <w:t>Th</w:t>
      </w:r>
      <w:r>
        <w:rPr>
          <w:rFonts w:ascii="Arial" w:hAnsi="Arial" w:cs="Arial"/>
          <w:sz w:val="22"/>
          <w:szCs w:val="22"/>
        </w:rPr>
        <w:t xml:space="preserve">e following </w:t>
      </w:r>
      <w:r w:rsidRPr="009E14B6">
        <w:rPr>
          <w:rFonts w:ascii="Arial" w:hAnsi="Arial" w:cs="Arial"/>
          <w:sz w:val="22"/>
          <w:szCs w:val="22"/>
        </w:rPr>
        <w:t xml:space="preserve">guidance </w:t>
      </w:r>
      <w:r>
        <w:rPr>
          <w:rFonts w:ascii="Arial" w:hAnsi="Arial" w:cs="Arial"/>
          <w:sz w:val="22"/>
          <w:szCs w:val="22"/>
        </w:rPr>
        <w:t xml:space="preserve">is </w:t>
      </w:r>
      <w:r w:rsidRPr="009E14B6">
        <w:rPr>
          <w:rFonts w:ascii="Arial" w:hAnsi="Arial" w:cs="Arial"/>
          <w:sz w:val="22"/>
          <w:szCs w:val="22"/>
        </w:rPr>
        <w:t>for university merchants on implementing and using PCI-compliant Voice over Internet Protocol (VOIP) solutions for processing credit card payments. Adherence to this guidance is required as part of the annual merchant compliance attestation. </w:t>
      </w:r>
    </w:p>
    <w:p w14:paraId="7992AE24" w14:textId="77777777" w:rsidR="009E14B6" w:rsidRPr="00D809F0" w:rsidRDefault="009E14B6" w:rsidP="009E14B6">
      <w:pPr>
        <w:rPr>
          <w:rFonts w:ascii="Arial" w:hAnsi="Arial" w:cs="Arial"/>
          <w:b/>
          <w:bCs/>
          <w:u w:val="single"/>
        </w:rPr>
      </w:pPr>
      <w:r w:rsidRPr="00D809F0">
        <w:rPr>
          <w:rFonts w:ascii="Arial" w:hAnsi="Arial" w:cs="Arial"/>
          <w:b/>
          <w:bCs/>
          <w:u w:val="single"/>
        </w:rPr>
        <w:t>PCI Compliance and VOIP Overview </w:t>
      </w:r>
    </w:p>
    <w:p w14:paraId="3C0EAEC9" w14:textId="6EC22100" w:rsidR="009E14B6" w:rsidRPr="009E14B6" w:rsidRDefault="009E14B6" w:rsidP="009E14B6">
      <w:pPr>
        <w:rPr>
          <w:rFonts w:ascii="Arial" w:hAnsi="Arial" w:cs="Arial"/>
          <w:sz w:val="22"/>
          <w:szCs w:val="22"/>
        </w:rPr>
      </w:pPr>
      <w:r w:rsidRPr="009E14B6">
        <w:rPr>
          <w:rFonts w:ascii="Arial" w:hAnsi="Arial" w:cs="Arial"/>
          <w:sz w:val="22"/>
          <w:szCs w:val="22"/>
        </w:rPr>
        <w:t>Any university department or unit that uses a VOIP phone system to accept credit card payments is subject to the Payment Card Industry Data Security Standard (PCI DSS). This applies whether the customers speak their cardholder data or enter it using their telephone keypad. The VOIP network is considered in scope for PCI DSS because it transmits cardholder data, and it must be secured with the same rigor as any other payment network. </w:t>
      </w:r>
    </w:p>
    <w:p w14:paraId="1A54178F" w14:textId="77777777" w:rsidR="009E14B6" w:rsidRPr="009E14B6" w:rsidRDefault="009E14B6" w:rsidP="009E14B6">
      <w:pPr>
        <w:rPr>
          <w:rFonts w:ascii="Arial" w:hAnsi="Arial" w:cs="Arial"/>
          <w:sz w:val="22"/>
          <w:szCs w:val="22"/>
        </w:rPr>
      </w:pPr>
      <w:r w:rsidRPr="009E14B6">
        <w:rPr>
          <w:rFonts w:ascii="Arial" w:hAnsi="Arial" w:cs="Arial"/>
          <w:sz w:val="22"/>
          <w:szCs w:val="22"/>
        </w:rPr>
        <w:t>This guidance applies to all payment processing environments including: </w:t>
      </w:r>
    </w:p>
    <w:p w14:paraId="271887D1" w14:textId="77777777" w:rsidR="009E14B6" w:rsidRPr="009E14B6" w:rsidRDefault="009E14B6" w:rsidP="009E14B6">
      <w:pPr>
        <w:numPr>
          <w:ilvl w:val="0"/>
          <w:numId w:val="5"/>
        </w:numPr>
        <w:rPr>
          <w:rFonts w:ascii="Arial" w:hAnsi="Arial" w:cs="Arial"/>
          <w:sz w:val="22"/>
          <w:szCs w:val="22"/>
        </w:rPr>
      </w:pPr>
      <w:r w:rsidRPr="009E14B6">
        <w:rPr>
          <w:rFonts w:ascii="Arial" w:hAnsi="Arial" w:cs="Arial"/>
          <w:sz w:val="22"/>
          <w:szCs w:val="22"/>
        </w:rPr>
        <w:t>On-campus call centers and offices. </w:t>
      </w:r>
    </w:p>
    <w:p w14:paraId="731F1F9C" w14:textId="77777777" w:rsidR="009E14B6" w:rsidRPr="009E14B6" w:rsidRDefault="009E14B6" w:rsidP="009E14B6">
      <w:pPr>
        <w:numPr>
          <w:ilvl w:val="0"/>
          <w:numId w:val="5"/>
        </w:numPr>
        <w:rPr>
          <w:rFonts w:ascii="Arial" w:hAnsi="Arial" w:cs="Arial"/>
          <w:sz w:val="22"/>
          <w:szCs w:val="22"/>
        </w:rPr>
      </w:pPr>
      <w:r w:rsidRPr="009E14B6">
        <w:rPr>
          <w:rFonts w:ascii="Arial" w:hAnsi="Arial" w:cs="Arial"/>
          <w:sz w:val="22"/>
          <w:szCs w:val="22"/>
        </w:rPr>
        <w:t>Staff working remotely who process payments over the phone. </w:t>
      </w:r>
    </w:p>
    <w:p w14:paraId="1541B876" w14:textId="41372E5E" w:rsidR="006C5FA2" w:rsidRPr="00D809F0" w:rsidRDefault="009E14B6" w:rsidP="009E14B6">
      <w:pPr>
        <w:rPr>
          <w:rFonts w:ascii="Arial" w:hAnsi="Arial" w:cs="Arial"/>
          <w:b/>
          <w:bCs/>
          <w:sz w:val="22"/>
          <w:szCs w:val="22"/>
          <w:u w:val="single"/>
        </w:rPr>
      </w:pPr>
      <w:r>
        <w:rPr>
          <w:rFonts w:ascii="Arial" w:hAnsi="Arial" w:cs="Arial"/>
          <w:sz w:val="22"/>
          <w:szCs w:val="22"/>
        </w:rPr>
        <w:br/>
      </w:r>
      <w:r w:rsidRPr="00D809F0">
        <w:rPr>
          <w:rFonts w:ascii="Arial" w:hAnsi="Arial" w:cs="Arial"/>
          <w:b/>
          <w:bCs/>
          <w:u w:val="single"/>
        </w:rPr>
        <w:t>VOIP Solution Requirements</w:t>
      </w:r>
      <w:r w:rsidR="0095062F" w:rsidRPr="00D809F0">
        <w:rPr>
          <w:rFonts w:ascii="Arial" w:hAnsi="Arial" w:cs="Arial"/>
          <w:b/>
          <w:bCs/>
          <w:sz w:val="22"/>
          <w:szCs w:val="22"/>
          <w:u w:val="single"/>
        </w:rPr>
        <w:br/>
      </w:r>
    </w:p>
    <w:p w14:paraId="51047EA5" w14:textId="6ECEF960" w:rsidR="009E14B6" w:rsidRPr="009E14B6" w:rsidRDefault="009E14B6" w:rsidP="009E14B6">
      <w:pPr>
        <w:rPr>
          <w:rFonts w:ascii="Arial" w:hAnsi="Arial" w:cs="Arial"/>
          <w:b/>
          <w:bCs/>
          <w:sz w:val="22"/>
          <w:szCs w:val="22"/>
        </w:rPr>
      </w:pPr>
      <w:r w:rsidRPr="009E14B6">
        <w:rPr>
          <w:rFonts w:ascii="Arial" w:hAnsi="Arial" w:cs="Arial"/>
          <w:b/>
          <w:bCs/>
          <w:sz w:val="22"/>
          <w:szCs w:val="22"/>
        </w:rPr>
        <w:t>DTMF Omitting Solutions  </w:t>
      </w:r>
    </w:p>
    <w:p w14:paraId="7A8F2691" w14:textId="3F5668E1" w:rsidR="009E14B6" w:rsidRPr="009E14B6" w:rsidRDefault="009E14B6" w:rsidP="009E14B6">
      <w:pPr>
        <w:rPr>
          <w:rFonts w:ascii="Arial" w:hAnsi="Arial" w:cs="Arial"/>
          <w:sz w:val="22"/>
          <w:szCs w:val="22"/>
        </w:rPr>
      </w:pPr>
      <w:r w:rsidRPr="009E14B6">
        <w:rPr>
          <w:rFonts w:ascii="Arial" w:hAnsi="Arial" w:cs="Arial"/>
          <w:sz w:val="22"/>
          <w:szCs w:val="22"/>
        </w:rPr>
        <w:t xml:space="preserve">To reduce the risk of data compromise and limit the scope of PCI DSS for the university, </w:t>
      </w:r>
      <w:r w:rsidRPr="009E14B6">
        <w:rPr>
          <w:rFonts w:ascii="Arial" w:hAnsi="Arial" w:cs="Arial"/>
          <w:i/>
          <w:iCs/>
          <w:sz w:val="22"/>
          <w:szCs w:val="22"/>
        </w:rPr>
        <w:t>all VOIP solutions used for accepting credit card payments must implement a Dual-Tone Multi-</w:t>
      </w:r>
      <w:r w:rsidR="006C5FA2" w:rsidRPr="0095062F">
        <w:rPr>
          <w:rFonts w:ascii="Arial" w:hAnsi="Arial" w:cs="Arial"/>
          <w:i/>
          <w:iCs/>
          <w:sz w:val="22"/>
          <w:szCs w:val="22"/>
        </w:rPr>
        <w:t>Frequency</w:t>
      </w:r>
      <w:r w:rsidRPr="009E14B6">
        <w:rPr>
          <w:rFonts w:ascii="Arial" w:hAnsi="Arial" w:cs="Arial"/>
          <w:i/>
          <w:iCs/>
          <w:sz w:val="22"/>
          <w:szCs w:val="22"/>
        </w:rPr>
        <w:t xml:space="preserve"> (DTMF) omitting solution. </w:t>
      </w:r>
    </w:p>
    <w:p w14:paraId="60C78907" w14:textId="77777777" w:rsidR="009E14B6" w:rsidRPr="009E14B6" w:rsidRDefault="009E14B6" w:rsidP="009E14B6">
      <w:pPr>
        <w:numPr>
          <w:ilvl w:val="0"/>
          <w:numId w:val="6"/>
        </w:numPr>
        <w:rPr>
          <w:rFonts w:ascii="Arial" w:hAnsi="Arial" w:cs="Arial"/>
          <w:b/>
          <w:bCs/>
          <w:sz w:val="22"/>
          <w:szCs w:val="22"/>
        </w:rPr>
      </w:pPr>
      <w:r w:rsidRPr="009E14B6">
        <w:rPr>
          <w:rFonts w:ascii="Arial" w:hAnsi="Arial" w:cs="Arial"/>
          <w:b/>
          <w:bCs/>
          <w:sz w:val="22"/>
          <w:szCs w:val="22"/>
        </w:rPr>
        <w:t xml:space="preserve">What is DTMF? </w:t>
      </w:r>
      <w:r w:rsidRPr="009E14B6">
        <w:rPr>
          <w:rFonts w:ascii="Arial" w:hAnsi="Arial" w:cs="Arial"/>
          <w:sz w:val="22"/>
          <w:szCs w:val="22"/>
        </w:rPr>
        <w:t>DTMF refers to the tones generated when a customer presses keys on their telephone keypad.</w:t>
      </w:r>
    </w:p>
    <w:p w14:paraId="61E0B13A" w14:textId="77777777" w:rsidR="009E14B6" w:rsidRPr="009E14B6" w:rsidRDefault="009E14B6" w:rsidP="009E14B6">
      <w:pPr>
        <w:numPr>
          <w:ilvl w:val="0"/>
          <w:numId w:val="6"/>
        </w:numPr>
        <w:rPr>
          <w:rFonts w:ascii="Arial" w:hAnsi="Arial" w:cs="Arial"/>
          <w:sz w:val="22"/>
          <w:szCs w:val="22"/>
        </w:rPr>
      </w:pPr>
      <w:r w:rsidRPr="009E14B6">
        <w:rPr>
          <w:rFonts w:ascii="Arial" w:hAnsi="Arial" w:cs="Arial"/>
          <w:sz w:val="22"/>
          <w:szCs w:val="22"/>
        </w:rPr>
        <w:t>Without proper controls, these tones can be intercepted and converted back into sensitive payment card numbers.</w:t>
      </w:r>
    </w:p>
    <w:p w14:paraId="03FBD631" w14:textId="77777777" w:rsidR="009E14B6" w:rsidRPr="009E14B6" w:rsidRDefault="009E14B6" w:rsidP="009E14B6">
      <w:pPr>
        <w:numPr>
          <w:ilvl w:val="0"/>
          <w:numId w:val="6"/>
        </w:numPr>
        <w:rPr>
          <w:rFonts w:ascii="Arial" w:hAnsi="Arial" w:cs="Arial"/>
          <w:sz w:val="22"/>
          <w:szCs w:val="22"/>
        </w:rPr>
      </w:pPr>
      <w:r w:rsidRPr="009E14B6">
        <w:rPr>
          <w:rFonts w:ascii="Arial" w:hAnsi="Arial" w:cs="Arial"/>
          <w:b/>
          <w:bCs/>
          <w:sz w:val="22"/>
          <w:szCs w:val="22"/>
        </w:rPr>
        <w:t>Requirement</w:t>
      </w:r>
      <w:r w:rsidRPr="009E14B6">
        <w:rPr>
          <w:rFonts w:ascii="Arial" w:hAnsi="Arial" w:cs="Arial"/>
          <w:sz w:val="22"/>
          <w:szCs w:val="22"/>
        </w:rPr>
        <w:t>: The solution must use DTMF masking, suppression, or a similar technology that prevents the tones (and thus the cardholder data) from entering the university's network environment. The agent may hear a flat tone or silence instead of the actual key presses. This technology ensures that sensitive data is redacted from the audio stream and is not stored in call recordings.</w:t>
      </w:r>
    </w:p>
    <w:p w14:paraId="207B9455" w14:textId="722D7BFD" w:rsidR="009E14B6" w:rsidRPr="00D809F0" w:rsidRDefault="009E14B6" w:rsidP="00BC6268">
      <w:pPr>
        <w:numPr>
          <w:ilvl w:val="0"/>
          <w:numId w:val="6"/>
        </w:numPr>
        <w:rPr>
          <w:rFonts w:ascii="Arial" w:hAnsi="Arial" w:cs="Arial"/>
          <w:sz w:val="22"/>
          <w:szCs w:val="22"/>
        </w:rPr>
      </w:pPr>
      <w:r w:rsidRPr="00D809F0">
        <w:rPr>
          <w:rFonts w:ascii="Arial" w:hAnsi="Arial" w:cs="Arial"/>
          <w:b/>
          <w:bCs/>
          <w:sz w:val="22"/>
          <w:szCs w:val="22"/>
        </w:rPr>
        <w:t>Exception</w:t>
      </w:r>
      <w:r w:rsidRPr="00D809F0">
        <w:rPr>
          <w:rFonts w:ascii="Arial" w:hAnsi="Arial" w:cs="Arial"/>
          <w:sz w:val="22"/>
          <w:szCs w:val="22"/>
        </w:rPr>
        <w:t xml:space="preserve">: The only exception to this requirement is the </w:t>
      </w:r>
      <w:proofErr w:type="gramStart"/>
      <w:r w:rsidRPr="00D809F0">
        <w:rPr>
          <w:rFonts w:ascii="Arial" w:hAnsi="Arial" w:cs="Arial"/>
          <w:b/>
          <w:bCs/>
          <w:sz w:val="22"/>
          <w:szCs w:val="22"/>
        </w:rPr>
        <w:t>university's</w:t>
      </w:r>
      <w:proofErr w:type="gramEnd"/>
      <w:r w:rsidRPr="00D809F0">
        <w:rPr>
          <w:rFonts w:ascii="Arial" w:hAnsi="Arial" w:cs="Arial"/>
          <w:b/>
          <w:bCs/>
          <w:sz w:val="22"/>
          <w:szCs w:val="22"/>
        </w:rPr>
        <w:t xml:space="preserve"> officially approved Zoom solution</w:t>
      </w:r>
      <w:r w:rsidRPr="00D809F0">
        <w:rPr>
          <w:rFonts w:ascii="Arial" w:hAnsi="Arial" w:cs="Arial"/>
          <w:sz w:val="22"/>
          <w:szCs w:val="22"/>
        </w:rPr>
        <w:t>, which has been vetted for PCI compliance through other controls.</w:t>
      </w:r>
    </w:p>
    <w:p w14:paraId="237427D0" w14:textId="77777777" w:rsidR="00D809F0" w:rsidRDefault="00D809F0" w:rsidP="009E14B6">
      <w:pPr>
        <w:rPr>
          <w:rFonts w:ascii="Arial" w:hAnsi="Arial" w:cs="Arial"/>
          <w:b/>
          <w:bCs/>
          <w:sz w:val="22"/>
          <w:szCs w:val="22"/>
        </w:rPr>
      </w:pPr>
    </w:p>
    <w:p w14:paraId="2EE4BE7C" w14:textId="77777777" w:rsidR="00D809F0" w:rsidRDefault="00D809F0" w:rsidP="009E14B6">
      <w:pPr>
        <w:rPr>
          <w:rFonts w:ascii="Arial" w:hAnsi="Arial" w:cs="Arial"/>
          <w:b/>
          <w:bCs/>
          <w:sz w:val="22"/>
          <w:szCs w:val="22"/>
        </w:rPr>
      </w:pPr>
    </w:p>
    <w:p w14:paraId="6600B92C" w14:textId="186C6920" w:rsidR="009E14B6" w:rsidRPr="00D809F0" w:rsidRDefault="009E14B6" w:rsidP="009E14B6">
      <w:pPr>
        <w:rPr>
          <w:rFonts w:ascii="Arial" w:hAnsi="Arial" w:cs="Arial"/>
          <w:b/>
          <w:bCs/>
          <w:sz w:val="22"/>
          <w:szCs w:val="22"/>
        </w:rPr>
      </w:pPr>
      <w:r w:rsidRPr="009E14B6">
        <w:rPr>
          <w:rFonts w:ascii="Arial" w:hAnsi="Arial" w:cs="Arial"/>
          <w:b/>
          <w:bCs/>
          <w:sz w:val="22"/>
          <w:szCs w:val="22"/>
        </w:rPr>
        <w:lastRenderedPageBreak/>
        <w:t>Remote Network Connection Requirements </w:t>
      </w:r>
    </w:p>
    <w:p w14:paraId="7EA0CAD9" w14:textId="55FA95BE" w:rsidR="009E14B6" w:rsidRPr="009E14B6" w:rsidRDefault="009E14B6" w:rsidP="009E14B6">
      <w:pPr>
        <w:rPr>
          <w:rFonts w:ascii="Arial" w:hAnsi="Arial" w:cs="Arial"/>
          <w:sz w:val="22"/>
          <w:szCs w:val="22"/>
        </w:rPr>
      </w:pPr>
      <w:r w:rsidRPr="009E14B6">
        <w:rPr>
          <w:rFonts w:ascii="Arial" w:hAnsi="Arial" w:cs="Arial"/>
          <w:sz w:val="22"/>
          <w:szCs w:val="22"/>
        </w:rPr>
        <w:t>For staff processing payments from a remote location, the following network connection requirements are mandatory:</w:t>
      </w:r>
    </w:p>
    <w:p w14:paraId="7992F006" w14:textId="77777777" w:rsidR="009E14B6" w:rsidRPr="009E14B6" w:rsidRDefault="009E14B6" w:rsidP="009E14B6">
      <w:pPr>
        <w:numPr>
          <w:ilvl w:val="0"/>
          <w:numId w:val="7"/>
        </w:numPr>
        <w:rPr>
          <w:rFonts w:ascii="Arial" w:hAnsi="Arial" w:cs="Arial"/>
          <w:sz w:val="22"/>
          <w:szCs w:val="22"/>
        </w:rPr>
      </w:pPr>
      <w:r w:rsidRPr="009E14B6">
        <w:rPr>
          <w:rFonts w:ascii="Arial" w:hAnsi="Arial" w:cs="Arial"/>
          <w:b/>
          <w:bCs/>
          <w:sz w:val="22"/>
          <w:szCs w:val="22"/>
        </w:rPr>
        <w:t>Secure Connection</w:t>
      </w:r>
      <w:r w:rsidRPr="009E14B6">
        <w:rPr>
          <w:rFonts w:ascii="Arial" w:hAnsi="Arial" w:cs="Arial"/>
          <w:sz w:val="22"/>
          <w:szCs w:val="22"/>
        </w:rPr>
        <w:t>: A university-approved Virtual Private Network (VPN) must be used to establish a secure connection to the university network.</w:t>
      </w:r>
    </w:p>
    <w:p w14:paraId="150F0680" w14:textId="77777777" w:rsidR="009E14B6" w:rsidRPr="009E14B6" w:rsidRDefault="009E14B6" w:rsidP="009E14B6">
      <w:pPr>
        <w:numPr>
          <w:ilvl w:val="0"/>
          <w:numId w:val="7"/>
        </w:numPr>
        <w:rPr>
          <w:rFonts w:ascii="Arial" w:hAnsi="Arial" w:cs="Arial"/>
          <w:sz w:val="22"/>
          <w:szCs w:val="22"/>
        </w:rPr>
      </w:pPr>
      <w:r w:rsidRPr="009E14B6">
        <w:rPr>
          <w:rFonts w:ascii="Arial" w:hAnsi="Arial" w:cs="Arial"/>
          <w:b/>
          <w:bCs/>
          <w:sz w:val="22"/>
          <w:szCs w:val="22"/>
        </w:rPr>
        <w:t>Isolated Environment</w:t>
      </w:r>
      <w:r w:rsidRPr="009E14B6">
        <w:rPr>
          <w:rFonts w:ascii="Arial" w:hAnsi="Arial" w:cs="Arial"/>
          <w:sz w:val="22"/>
          <w:szCs w:val="22"/>
        </w:rPr>
        <w:t>: The computer and phone system used for processing payments must be isolated from other devices on the employee's home network.</w:t>
      </w:r>
    </w:p>
    <w:p w14:paraId="4D04A8DE" w14:textId="753281B1" w:rsidR="009E14B6" w:rsidRPr="00D809F0" w:rsidRDefault="009E14B6" w:rsidP="009E14B6">
      <w:pPr>
        <w:numPr>
          <w:ilvl w:val="0"/>
          <w:numId w:val="7"/>
        </w:numPr>
        <w:rPr>
          <w:rFonts w:ascii="Arial" w:hAnsi="Arial" w:cs="Arial"/>
          <w:sz w:val="22"/>
          <w:szCs w:val="22"/>
        </w:rPr>
      </w:pPr>
      <w:r w:rsidRPr="009E14B6">
        <w:rPr>
          <w:rFonts w:ascii="Arial" w:hAnsi="Arial" w:cs="Arial"/>
          <w:b/>
          <w:bCs/>
          <w:sz w:val="22"/>
          <w:szCs w:val="22"/>
        </w:rPr>
        <w:t>No Unauthorized Storage</w:t>
      </w:r>
      <w:r w:rsidRPr="009E14B6">
        <w:rPr>
          <w:rFonts w:ascii="Arial" w:hAnsi="Arial" w:cs="Arial"/>
          <w:sz w:val="22"/>
          <w:szCs w:val="22"/>
        </w:rPr>
        <w:t>: Cardholder data must never be stored on local computers, removable media, loose paper, or in unapproved cloud storage services.</w:t>
      </w:r>
    </w:p>
    <w:p w14:paraId="46CF3A91" w14:textId="77777777" w:rsidR="009E14B6" w:rsidRPr="009E14B6" w:rsidRDefault="009E14B6" w:rsidP="009E14B6">
      <w:pPr>
        <w:rPr>
          <w:rFonts w:ascii="Arial" w:hAnsi="Arial" w:cs="Arial"/>
          <w:b/>
          <w:bCs/>
          <w:sz w:val="22"/>
          <w:szCs w:val="22"/>
        </w:rPr>
      </w:pPr>
      <w:r w:rsidRPr="009E14B6">
        <w:rPr>
          <w:rFonts w:ascii="Arial" w:hAnsi="Arial" w:cs="Arial"/>
          <w:b/>
          <w:bCs/>
          <w:sz w:val="22"/>
          <w:szCs w:val="22"/>
        </w:rPr>
        <w:t>Recording Telephone Conversations</w:t>
      </w:r>
    </w:p>
    <w:p w14:paraId="1706B86D" w14:textId="77777777" w:rsidR="009E14B6" w:rsidRPr="009E14B6" w:rsidRDefault="009E14B6" w:rsidP="009E14B6">
      <w:pPr>
        <w:numPr>
          <w:ilvl w:val="0"/>
          <w:numId w:val="8"/>
        </w:numPr>
        <w:rPr>
          <w:rFonts w:ascii="Arial" w:hAnsi="Arial" w:cs="Arial"/>
          <w:sz w:val="22"/>
          <w:szCs w:val="22"/>
        </w:rPr>
      </w:pPr>
      <w:r w:rsidRPr="009E14B6">
        <w:rPr>
          <w:rFonts w:ascii="Arial" w:hAnsi="Arial" w:cs="Arial"/>
          <w:i/>
          <w:iCs/>
          <w:sz w:val="22"/>
          <w:szCs w:val="22"/>
        </w:rPr>
        <w:t>Prohibition of Sensitive Data Storage: It is strictly forbidden to record or store Sensitive Authentication Data (SAD) after authorization.</w:t>
      </w:r>
      <w:r w:rsidRPr="009E14B6">
        <w:rPr>
          <w:rFonts w:ascii="Arial" w:hAnsi="Arial" w:cs="Arial"/>
          <w:sz w:val="22"/>
          <w:szCs w:val="22"/>
        </w:rPr>
        <w:t xml:space="preserve"> This includes the three or four-digit card verification code (CVV2, CVC2, CID) from the back of the card and front for American Express. </w:t>
      </w:r>
    </w:p>
    <w:p w14:paraId="77DDE8B7" w14:textId="77777777" w:rsidR="009E14B6" w:rsidRPr="009E14B6" w:rsidRDefault="009E14B6" w:rsidP="009E14B6">
      <w:pPr>
        <w:numPr>
          <w:ilvl w:val="0"/>
          <w:numId w:val="8"/>
        </w:numPr>
        <w:rPr>
          <w:rFonts w:ascii="Arial" w:hAnsi="Arial" w:cs="Arial"/>
          <w:sz w:val="22"/>
          <w:szCs w:val="22"/>
        </w:rPr>
      </w:pPr>
      <w:r w:rsidRPr="009E14B6">
        <w:rPr>
          <w:rFonts w:ascii="Arial" w:hAnsi="Arial" w:cs="Arial"/>
          <w:b/>
          <w:bCs/>
          <w:sz w:val="22"/>
          <w:szCs w:val="22"/>
        </w:rPr>
        <w:t>Compliant Recording Practices</w:t>
      </w:r>
      <w:r w:rsidRPr="009E14B6">
        <w:rPr>
          <w:rFonts w:ascii="Arial" w:hAnsi="Arial" w:cs="Arial"/>
          <w:sz w:val="22"/>
          <w:szCs w:val="22"/>
        </w:rPr>
        <w:t xml:space="preserve">: If call recording is necessary for business reasons, one of the following methods </w:t>
      </w:r>
      <w:r w:rsidRPr="009E14B6">
        <w:rPr>
          <w:rFonts w:ascii="Arial" w:hAnsi="Arial" w:cs="Arial"/>
          <w:b/>
          <w:bCs/>
          <w:sz w:val="22"/>
          <w:szCs w:val="22"/>
        </w:rPr>
        <w:t>must</w:t>
      </w:r>
      <w:r w:rsidRPr="009E14B6">
        <w:rPr>
          <w:rFonts w:ascii="Arial" w:hAnsi="Arial" w:cs="Arial"/>
          <w:sz w:val="22"/>
          <w:szCs w:val="22"/>
        </w:rPr>
        <w:t xml:space="preserve"> be implemented to ensure cardholder data is not recorded: </w:t>
      </w:r>
    </w:p>
    <w:p w14:paraId="3DD64384" w14:textId="3EF4CB57" w:rsidR="0095062F" w:rsidRPr="0095062F" w:rsidRDefault="0095062F" w:rsidP="0095062F">
      <w:pPr>
        <w:numPr>
          <w:ilvl w:val="1"/>
          <w:numId w:val="8"/>
        </w:numPr>
        <w:rPr>
          <w:rFonts w:ascii="Arial" w:hAnsi="Arial" w:cs="Arial"/>
          <w:sz w:val="22"/>
          <w:szCs w:val="22"/>
        </w:rPr>
      </w:pPr>
      <w:r w:rsidRPr="009E14B6">
        <w:rPr>
          <w:rFonts w:ascii="Arial" w:hAnsi="Arial" w:cs="Arial"/>
          <w:b/>
          <w:bCs/>
          <w:sz w:val="22"/>
          <w:szCs w:val="22"/>
        </w:rPr>
        <w:t>DTMF Omission</w:t>
      </w:r>
      <w:r w:rsidRPr="009E14B6">
        <w:rPr>
          <w:rFonts w:ascii="Arial" w:hAnsi="Arial" w:cs="Arial"/>
          <w:sz w:val="22"/>
          <w:szCs w:val="22"/>
        </w:rPr>
        <w:t>: The DTMF omitting solution will also prevent keypad tones from being captured in the call recording, helping to meet this requirement.</w:t>
      </w:r>
    </w:p>
    <w:p w14:paraId="35C777B4" w14:textId="29F8FC5A" w:rsidR="0095062F" w:rsidRPr="00D809F0" w:rsidRDefault="009E14B6" w:rsidP="009E14B6">
      <w:pPr>
        <w:numPr>
          <w:ilvl w:val="1"/>
          <w:numId w:val="9"/>
        </w:numPr>
        <w:rPr>
          <w:rFonts w:ascii="Arial" w:hAnsi="Arial" w:cs="Arial"/>
          <w:sz w:val="22"/>
          <w:szCs w:val="22"/>
        </w:rPr>
      </w:pPr>
      <w:r w:rsidRPr="009E14B6">
        <w:rPr>
          <w:rFonts w:ascii="Arial" w:hAnsi="Arial" w:cs="Arial"/>
          <w:b/>
          <w:bCs/>
          <w:sz w:val="22"/>
          <w:szCs w:val="22"/>
        </w:rPr>
        <w:t>Pause-and-Resume</w:t>
      </w:r>
      <w:r w:rsidRPr="009E14B6">
        <w:rPr>
          <w:rFonts w:ascii="Arial" w:hAnsi="Arial" w:cs="Arial"/>
          <w:sz w:val="22"/>
          <w:szCs w:val="22"/>
        </w:rPr>
        <w:t xml:space="preserve">: </w:t>
      </w:r>
      <w:r w:rsidR="0095062F">
        <w:rPr>
          <w:rFonts w:ascii="Arial" w:hAnsi="Arial" w:cs="Arial"/>
          <w:sz w:val="22"/>
          <w:szCs w:val="22"/>
        </w:rPr>
        <w:t>Treasury and ITS IA must approve the use of</w:t>
      </w:r>
      <w:r w:rsidRPr="009E14B6">
        <w:rPr>
          <w:rFonts w:ascii="Arial" w:hAnsi="Arial" w:cs="Arial"/>
          <w:sz w:val="22"/>
          <w:szCs w:val="22"/>
        </w:rPr>
        <w:t xml:space="preserve"> </w:t>
      </w:r>
      <w:r w:rsidR="0095062F">
        <w:rPr>
          <w:rFonts w:ascii="Arial" w:hAnsi="Arial" w:cs="Arial"/>
          <w:sz w:val="22"/>
          <w:szCs w:val="22"/>
        </w:rPr>
        <w:t xml:space="preserve">a </w:t>
      </w:r>
      <w:r w:rsidRPr="009E14B6">
        <w:rPr>
          <w:rFonts w:ascii="Arial" w:hAnsi="Arial" w:cs="Arial"/>
          <w:sz w:val="22"/>
          <w:szCs w:val="22"/>
        </w:rPr>
        <w:t xml:space="preserve">call recording system </w:t>
      </w:r>
      <w:r w:rsidR="0095062F">
        <w:rPr>
          <w:rFonts w:ascii="Arial" w:hAnsi="Arial" w:cs="Arial"/>
          <w:sz w:val="22"/>
          <w:szCs w:val="22"/>
        </w:rPr>
        <w:t xml:space="preserve">that is </w:t>
      </w:r>
      <w:r w:rsidRPr="009E14B6">
        <w:rPr>
          <w:rFonts w:ascii="Arial" w:hAnsi="Arial" w:cs="Arial"/>
          <w:sz w:val="22"/>
          <w:szCs w:val="22"/>
        </w:rPr>
        <w:t xml:space="preserve">paused (manually or automatically) before the customer provides their payment information and </w:t>
      </w:r>
      <w:proofErr w:type="gramStart"/>
      <w:r w:rsidRPr="009E14B6">
        <w:rPr>
          <w:rFonts w:ascii="Arial" w:hAnsi="Arial" w:cs="Arial"/>
          <w:sz w:val="22"/>
          <w:szCs w:val="22"/>
        </w:rPr>
        <w:t>resumed</w:t>
      </w:r>
      <w:proofErr w:type="gramEnd"/>
      <w:r w:rsidRPr="009E14B6">
        <w:rPr>
          <w:rFonts w:ascii="Arial" w:hAnsi="Arial" w:cs="Arial"/>
          <w:sz w:val="22"/>
          <w:szCs w:val="22"/>
        </w:rPr>
        <w:t xml:space="preserve"> only after the transaction is complete.</w:t>
      </w:r>
    </w:p>
    <w:p w14:paraId="3C6A6DA7" w14:textId="7CFA9F8A" w:rsidR="009E14B6" w:rsidRPr="009E14B6" w:rsidRDefault="009E14B6" w:rsidP="009E14B6">
      <w:pPr>
        <w:rPr>
          <w:rFonts w:ascii="Arial" w:hAnsi="Arial" w:cs="Arial"/>
          <w:b/>
          <w:bCs/>
          <w:sz w:val="22"/>
          <w:szCs w:val="22"/>
        </w:rPr>
      </w:pPr>
      <w:r w:rsidRPr="009E14B6">
        <w:rPr>
          <w:rFonts w:ascii="Arial" w:hAnsi="Arial" w:cs="Arial"/>
          <w:b/>
          <w:bCs/>
          <w:sz w:val="22"/>
          <w:szCs w:val="22"/>
        </w:rPr>
        <w:t>Annual Merchant PCI Compliance Attestation</w:t>
      </w:r>
    </w:p>
    <w:p w14:paraId="59FD83FF" w14:textId="77777777" w:rsidR="009E14B6" w:rsidRPr="009E14B6" w:rsidRDefault="009E14B6" w:rsidP="009E14B6">
      <w:pPr>
        <w:rPr>
          <w:rFonts w:ascii="Arial" w:hAnsi="Arial" w:cs="Arial"/>
          <w:sz w:val="22"/>
          <w:szCs w:val="22"/>
        </w:rPr>
      </w:pPr>
      <w:r w:rsidRPr="009E14B6">
        <w:rPr>
          <w:rFonts w:ascii="Arial" w:hAnsi="Arial" w:cs="Arial"/>
          <w:sz w:val="22"/>
          <w:szCs w:val="22"/>
        </w:rPr>
        <w:t>All university merchants are responsible for demonstrating their compliance annually.</w:t>
      </w:r>
    </w:p>
    <w:p w14:paraId="6DBDAFCA" w14:textId="77777777" w:rsidR="009E14B6" w:rsidRPr="009E14B6" w:rsidRDefault="009E14B6" w:rsidP="009E14B6">
      <w:pPr>
        <w:numPr>
          <w:ilvl w:val="0"/>
          <w:numId w:val="11"/>
        </w:numPr>
        <w:rPr>
          <w:rFonts w:ascii="Arial" w:hAnsi="Arial" w:cs="Arial"/>
          <w:sz w:val="22"/>
          <w:szCs w:val="22"/>
        </w:rPr>
      </w:pPr>
      <w:r w:rsidRPr="009E14B6">
        <w:rPr>
          <w:rFonts w:ascii="Arial" w:hAnsi="Arial" w:cs="Arial"/>
          <w:b/>
          <w:bCs/>
          <w:sz w:val="22"/>
          <w:szCs w:val="22"/>
        </w:rPr>
        <w:t>Attestation</w:t>
      </w:r>
      <w:r w:rsidRPr="009E14B6">
        <w:rPr>
          <w:rFonts w:ascii="Arial" w:hAnsi="Arial" w:cs="Arial"/>
          <w:sz w:val="22"/>
          <w:szCs w:val="22"/>
        </w:rPr>
        <w:t>: As part of your annual PCI DSS compliance attestation, you will be required to confirm that any VoIP system used for payments adheres to the requirements outlined in this guidance.</w:t>
      </w:r>
    </w:p>
    <w:p w14:paraId="2197A835" w14:textId="210DD6A4" w:rsidR="009E14B6" w:rsidRPr="004E7B4A" w:rsidRDefault="009E14B6" w:rsidP="009E14B6">
      <w:pPr>
        <w:rPr>
          <w:rFonts w:ascii="Arial" w:hAnsi="Arial" w:cs="Arial"/>
          <w:sz w:val="22"/>
          <w:szCs w:val="22"/>
        </w:rPr>
      </w:pPr>
      <w:r w:rsidRPr="009E14B6">
        <w:rPr>
          <w:rFonts w:ascii="Arial" w:hAnsi="Arial" w:cs="Arial"/>
          <w:b/>
          <w:bCs/>
          <w:sz w:val="22"/>
          <w:szCs w:val="22"/>
        </w:rPr>
        <w:t>Documentation</w:t>
      </w:r>
      <w:r w:rsidRPr="009E14B6">
        <w:rPr>
          <w:rFonts w:ascii="Arial" w:hAnsi="Arial" w:cs="Arial"/>
          <w:sz w:val="22"/>
          <w:szCs w:val="22"/>
        </w:rPr>
        <w:t>: Merchants must be prepared to provide documentation from their VoIP or solution provider that confirms the use of a compliant DTMF omitting technology.</w:t>
      </w:r>
    </w:p>
    <w:sectPr w:rsidR="009E14B6" w:rsidRPr="004E7B4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77B3" w14:textId="77777777" w:rsidR="008872A8" w:rsidRDefault="008872A8" w:rsidP="004E7B4A">
      <w:pPr>
        <w:spacing w:after="0" w:line="240" w:lineRule="auto"/>
      </w:pPr>
      <w:r>
        <w:separator/>
      </w:r>
    </w:p>
  </w:endnote>
  <w:endnote w:type="continuationSeparator" w:id="0">
    <w:p w14:paraId="27D5B2A3" w14:textId="77777777" w:rsidR="008872A8" w:rsidRDefault="008872A8" w:rsidP="004E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71A5" w14:textId="77777777" w:rsidR="008872A8" w:rsidRDefault="008872A8" w:rsidP="004E7B4A">
      <w:pPr>
        <w:spacing w:after="0" w:line="240" w:lineRule="auto"/>
      </w:pPr>
      <w:r>
        <w:separator/>
      </w:r>
    </w:p>
  </w:footnote>
  <w:footnote w:type="continuationSeparator" w:id="0">
    <w:p w14:paraId="3DC3A40D" w14:textId="77777777" w:rsidR="008872A8" w:rsidRDefault="008872A8" w:rsidP="004E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31E9" w14:textId="365FB78F" w:rsidR="004E7B4A" w:rsidRDefault="004E7B4A">
    <w:pPr>
      <w:pStyle w:val="Header"/>
    </w:pPr>
    <w:bookmarkStart w:id="0" w:name="_t4zbt2t3x62e" w:colFirst="0" w:colLast="0"/>
    <w:bookmarkEnd w:id="0"/>
    <w:r>
      <w:rPr>
        <w:b/>
        <w:noProof/>
        <w:sz w:val="28"/>
        <w:szCs w:val="28"/>
      </w:rPr>
      <w:drawing>
        <wp:inline distT="0" distB="0" distL="114300" distR="114300" wp14:anchorId="1111BD52" wp14:editId="7F9631AC">
          <wp:extent cx="2335530" cy="373380"/>
          <wp:effectExtent l="0" t="0" r="0" b="0"/>
          <wp:docPr id="1"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close up of a logo&#10;&#10;AI-generated content may be incorrect."/>
                  <pic:cNvPicPr preferRelativeResize="0"/>
                </pic:nvPicPr>
                <pic:blipFill>
                  <a:blip r:embed="rId1"/>
                  <a:srcRect/>
                  <a:stretch>
                    <a:fillRect/>
                  </a:stretch>
                </pic:blipFill>
                <pic:spPr>
                  <a:xfrm>
                    <a:off x="0" y="0"/>
                    <a:ext cx="2335530" cy="3733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7DA"/>
    <w:multiLevelType w:val="multilevel"/>
    <w:tmpl w:val="C4D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058E"/>
    <w:multiLevelType w:val="hybridMultilevel"/>
    <w:tmpl w:val="B26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9635B"/>
    <w:multiLevelType w:val="multilevel"/>
    <w:tmpl w:val="AC9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B095E"/>
    <w:multiLevelType w:val="multilevel"/>
    <w:tmpl w:val="0A4E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84F20"/>
    <w:multiLevelType w:val="multilevel"/>
    <w:tmpl w:val="81B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60C30"/>
    <w:multiLevelType w:val="hybridMultilevel"/>
    <w:tmpl w:val="1ED6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8588E"/>
    <w:multiLevelType w:val="multilevel"/>
    <w:tmpl w:val="30F8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805FC"/>
    <w:multiLevelType w:val="hybridMultilevel"/>
    <w:tmpl w:val="A7AA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56DF7"/>
    <w:multiLevelType w:val="hybridMultilevel"/>
    <w:tmpl w:val="D656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93F92"/>
    <w:multiLevelType w:val="multilevel"/>
    <w:tmpl w:val="079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A1FBD"/>
    <w:multiLevelType w:val="multilevel"/>
    <w:tmpl w:val="8D70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502145">
    <w:abstractNumId w:val="5"/>
  </w:num>
  <w:num w:numId="2" w16cid:durableId="841821207">
    <w:abstractNumId w:val="7"/>
  </w:num>
  <w:num w:numId="3" w16cid:durableId="712969181">
    <w:abstractNumId w:val="8"/>
  </w:num>
  <w:num w:numId="4" w16cid:durableId="1884901160">
    <w:abstractNumId w:val="1"/>
  </w:num>
  <w:num w:numId="5" w16cid:durableId="1943301561">
    <w:abstractNumId w:val="0"/>
  </w:num>
  <w:num w:numId="6" w16cid:durableId="1657412231">
    <w:abstractNumId w:val="3"/>
  </w:num>
  <w:num w:numId="7" w16cid:durableId="168639429">
    <w:abstractNumId w:val="10"/>
  </w:num>
  <w:num w:numId="8" w16cid:durableId="1259674796">
    <w:abstractNumId w:val="6"/>
  </w:num>
  <w:num w:numId="9" w16cid:durableId="1705133718">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1497652316">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889149621">
    <w:abstractNumId w:val="2"/>
  </w:num>
  <w:num w:numId="12" w16cid:durableId="1655376713">
    <w:abstractNumId w:val="9"/>
  </w:num>
  <w:num w:numId="13" w16cid:durableId="43929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4A"/>
    <w:rsid w:val="000C65FB"/>
    <w:rsid w:val="000D47D1"/>
    <w:rsid w:val="00276E88"/>
    <w:rsid w:val="002C2DFE"/>
    <w:rsid w:val="00314208"/>
    <w:rsid w:val="003D23DF"/>
    <w:rsid w:val="004E7B4A"/>
    <w:rsid w:val="00511382"/>
    <w:rsid w:val="00572FAC"/>
    <w:rsid w:val="005F5DFE"/>
    <w:rsid w:val="00620973"/>
    <w:rsid w:val="0068721F"/>
    <w:rsid w:val="006C5FA2"/>
    <w:rsid w:val="00711635"/>
    <w:rsid w:val="00713A07"/>
    <w:rsid w:val="00736552"/>
    <w:rsid w:val="00751265"/>
    <w:rsid w:val="00777C36"/>
    <w:rsid w:val="00797A7B"/>
    <w:rsid w:val="0082473E"/>
    <w:rsid w:val="008872A8"/>
    <w:rsid w:val="008B04CF"/>
    <w:rsid w:val="008B590D"/>
    <w:rsid w:val="008B69A1"/>
    <w:rsid w:val="008E21B1"/>
    <w:rsid w:val="0095062F"/>
    <w:rsid w:val="009E14B6"/>
    <w:rsid w:val="00A976F4"/>
    <w:rsid w:val="00B43ACD"/>
    <w:rsid w:val="00D252E7"/>
    <w:rsid w:val="00D809F0"/>
    <w:rsid w:val="00D82D88"/>
    <w:rsid w:val="00E1799A"/>
    <w:rsid w:val="00E60553"/>
    <w:rsid w:val="00F74CA0"/>
    <w:rsid w:val="00F9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46FA"/>
  <w15:chartTrackingRefBased/>
  <w15:docId w15:val="{31533665-14BB-47B1-8CEB-F66004D7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B4A"/>
    <w:rPr>
      <w:rFonts w:eastAsiaTheme="majorEastAsia" w:cstheme="majorBidi"/>
      <w:color w:val="272727" w:themeColor="text1" w:themeTint="D8"/>
    </w:rPr>
  </w:style>
  <w:style w:type="paragraph" w:styleId="Title">
    <w:name w:val="Title"/>
    <w:basedOn w:val="Normal"/>
    <w:next w:val="Normal"/>
    <w:link w:val="TitleChar"/>
    <w:uiPriority w:val="10"/>
    <w:qFormat/>
    <w:rsid w:val="004E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B4A"/>
    <w:pPr>
      <w:spacing w:before="160"/>
      <w:jc w:val="center"/>
    </w:pPr>
    <w:rPr>
      <w:i/>
      <w:iCs/>
      <w:color w:val="404040" w:themeColor="text1" w:themeTint="BF"/>
    </w:rPr>
  </w:style>
  <w:style w:type="character" w:customStyle="1" w:styleId="QuoteChar">
    <w:name w:val="Quote Char"/>
    <w:basedOn w:val="DefaultParagraphFont"/>
    <w:link w:val="Quote"/>
    <w:uiPriority w:val="29"/>
    <w:rsid w:val="004E7B4A"/>
    <w:rPr>
      <w:i/>
      <w:iCs/>
      <w:color w:val="404040" w:themeColor="text1" w:themeTint="BF"/>
    </w:rPr>
  </w:style>
  <w:style w:type="paragraph" w:styleId="ListParagraph">
    <w:name w:val="List Paragraph"/>
    <w:basedOn w:val="Normal"/>
    <w:uiPriority w:val="34"/>
    <w:qFormat/>
    <w:rsid w:val="004E7B4A"/>
    <w:pPr>
      <w:ind w:left="720"/>
      <w:contextualSpacing/>
    </w:pPr>
  </w:style>
  <w:style w:type="character" w:styleId="IntenseEmphasis">
    <w:name w:val="Intense Emphasis"/>
    <w:basedOn w:val="DefaultParagraphFont"/>
    <w:uiPriority w:val="21"/>
    <w:qFormat/>
    <w:rsid w:val="004E7B4A"/>
    <w:rPr>
      <w:i/>
      <w:iCs/>
      <w:color w:val="0F4761" w:themeColor="accent1" w:themeShade="BF"/>
    </w:rPr>
  </w:style>
  <w:style w:type="paragraph" w:styleId="IntenseQuote">
    <w:name w:val="Intense Quote"/>
    <w:basedOn w:val="Normal"/>
    <w:next w:val="Normal"/>
    <w:link w:val="IntenseQuoteChar"/>
    <w:uiPriority w:val="30"/>
    <w:qFormat/>
    <w:rsid w:val="004E7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B4A"/>
    <w:rPr>
      <w:i/>
      <w:iCs/>
      <w:color w:val="0F4761" w:themeColor="accent1" w:themeShade="BF"/>
    </w:rPr>
  </w:style>
  <w:style w:type="character" w:styleId="IntenseReference">
    <w:name w:val="Intense Reference"/>
    <w:basedOn w:val="DefaultParagraphFont"/>
    <w:uiPriority w:val="32"/>
    <w:qFormat/>
    <w:rsid w:val="004E7B4A"/>
    <w:rPr>
      <w:b/>
      <w:bCs/>
      <w:smallCaps/>
      <w:color w:val="0F4761" w:themeColor="accent1" w:themeShade="BF"/>
      <w:spacing w:val="5"/>
    </w:rPr>
  </w:style>
  <w:style w:type="paragraph" w:styleId="Header">
    <w:name w:val="header"/>
    <w:basedOn w:val="Normal"/>
    <w:link w:val="HeaderChar"/>
    <w:uiPriority w:val="99"/>
    <w:unhideWhenUsed/>
    <w:rsid w:val="004E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4A"/>
  </w:style>
  <w:style w:type="paragraph" w:styleId="Footer">
    <w:name w:val="footer"/>
    <w:basedOn w:val="Normal"/>
    <w:link w:val="FooterChar"/>
    <w:uiPriority w:val="99"/>
    <w:unhideWhenUsed/>
    <w:rsid w:val="004E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4A"/>
  </w:style>
  <w:style w:type="character" w:styleId="Hyperlink">
    <w:name w:val="Hyperlink"/>
    <w:basedOn w:val="DefaultParagraphFont"/>
    <w:uiPriority w:val="99"/>
    <w:unhideWhenUsed/>
    <w:rsid w:val="00E60553"/>
    <w:rPr>
      <w:color w:val="467886" w:themeColor="hyperlink"/>
      <w:u w:val="single"/>
    </w:rPr>
  </w:style>
  <w:style w:type="character" w:styleId="UnresolvedMention">
    <w:name w:val="Unresolved Mention"/>
    <w:basedOn w:val="DefaultParagraphFont"/>
    <w:uiPriority w:val="99"/>
    <w:semiHidden/>
    <w:unhideWhenUsed/>
    <w:rsid w:val="00E6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58489">
      <w:bodyDiv w:val="1"/>
      <w:marLeft w:val="0"/>
      <w:marRight w:val="0"/>
      <w:marTop w:val="0"/>
      <w:marBottom w:val="0"/>
      <w:divBdr>
        <w:top w:val="none" w:sz="0" w:space="0" w:color="auto"/>
        <w:left w:val="none" w:sz="0" w:space="0" w:color="auto"/>
        <w:bottom w:val="none" w:sz="0" w:space="0" w:color="auto"/>
        <w:right w:val="none" w:sz="0" w:space="0" w:color="auto"/>
      </w:divBdr>
    </w:div>
    <w:div w:id="848829899">
      <w:bodyDiv w:val="1"/>
      <w:marLeft w:val="0"/>
      <w:marRight w:val="0"/>
      <w:marTop w:val="0"/>
      <w:marBottom w:val="0"/>
      <w:divBdr>
        <w:top w:val="none" w:sz="0" w:space="0" w:color="auto"/>
        <w:left w:val="none" w:sz="0" w:space="0" w:color="auto"/>
        <w:bottom w:val="none" w:sz="0" w:space="0" w:color="auto"/>
        <w:right w:val="none" w:sz="0" w:space="0" w:color="auto"/>
      </w:divBdr>
    </w:div>
    <w:div w:id="1361200447">
      <w:bodyDiv w:val="1"/>
      <w:marLeft w:val="0"/>
      <w:marRight w:val="0"/>
      <w:marTop w:val="0"/>
      <w:marBottom w:val="0"/>
      <w:divBdr>
        <w:top w:val="none" w:sz="0" w:space="0" w:color="auto"/>
        <w:left w:val="none" w:sz="0" w:space="0" w:color="auto"/>
        <w:bottom w:val="none" w:sz="0" w:space="0" w:color="auto"/>
        <w:right w:val="none" w:sz="0" w:space="0" w:color="auto"/>
      </w:divBdr>
      <w:divsChild>
        <w:div w:id="116459666">
          <w:marLeft w:val="0"/>
          <w:marRight w:val="0"/>
          <w:marTop w:val="0"/>
          <w:marBottom w:val="0"/>
          <w:divBdr>
            <w:top w:val="none" w:sz="0" w:space="0" w:color="auto"/>
            <w:left w:val="none" w:sz="0" w:space="0" w:color="auto"/>
            <w:bottom w:val="none" w:sz="0" w:space="0" w:color="auto"/>
            <w:right w:val="none" w:sz="0" w:space="0" w:color="auto"/>
          </w:divBdr>
        </w:div>
      </w:divsChild>
    </w:div>
    <w:div w:id="1489900209">
      <w:bodyDiv w:val="1"/>
      <w:marLeft w:val="0"/>
      <w:marRight w:val="0"/>
      <w:marTop w:val="0"/>
      <w:marBottom w:val="0"/>
      <w:divBdr>
        <w:top w:val="none" w:sz="0" w:space="0" w:color="auto"/>
        <w:left w:val="none" w:sz="0" w:space="0" w:color="auto"/>
        <w:bottom w:val="none" w:sz="0" w:space="0" w:color="auto"/>
        <w:right w:val="none" w:sz="0" w:space="0" w:color="auto"/>
      </w:divBdr>
    </w:div>
    <w:div w:id="1643000920">
      <w:bodyDiv w:val="1"/>
      <w:marLeft w:val="0"/>
      <w:marRight w:val="0"/>
      <w:marTop w:val="0"/>
      <w:marBottom w:val="0"/>
      <w:divBdr>
        <w:top w:val="none" w:sz="0" w:space="0" w:color="auto"/>
        <w:left w:val="none" w:sz="0" w:space="0" w:color="auto"/>
        <w:bottom w:val="none" w:sz="0" w:space="0" w:color="auto"/>
        <w:right w:val="none" w:sz="0" w:space="0" w:color="auto"/>
      </w:divBdr>
      <w:divsChild>
        <w:div w:id="1226792465">
          <w:marLeft w:val="0"/>
          <w:marRight w:val="0"/>
          <w:marTop w:val="0"/>
          <w:marBottom w:val="0"/>
          <w:divBdr>
            <w:top w:val="none" w:sz="0" w:space="0" w:color="auto"/>
            <w:left w:val="none" w:sz="0" w:space="0" w:color="auto"/>
            <w:bottom w:val="none" w:sz="0" w:space="0" w:color="auto"/>
            <w:right w:val="none" w:sz="0" w:space="0" w:color="auto"/>
          </w:divBdr>
        </w:div>
      </w:divsChild>
    </w:div>
    <w:div w:id="16494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compliance@umi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curement.umich.edu/u-m-employees/purchasing/advanced-supplier-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CIcompliance@umich.edu" TargetMode="External"/><Relationship Id="rId4" Type="http://schemas.openxmlformats.org/officeDocument/2006/relationships/webSettings" Target="webSettings.xml"/><Relationship Id="rId9" Type="http://schemas.openxmlformats.org/officeDocument/2006/relationships/hyperlink" Target="mailto:its-inf-csr@umi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Michigan ITS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Dave</dc:creator>
  <cp:keywords/>
  <dc:description/>
  <cp:lastModifiedBy>Doyle, Dave</cp:lastModifiedBy>
  <cp:revision>2</cp:revision>
  <dcterms:created xsi:type="dcterms:W3CDTF">2026-04-08T18:39:00Z</dcterms:created>
  <dcterms:modified xsi:type="dcterms:W3CDTF">2026-04-08T18:39:00Z</dcterms:modified>
</cp:coreProperties>
</file>