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811D" w14:textId="3320FFB1" w:rsidR="004765AF" w:rsidRPr="004765AF" w:rsidRDefault="005B0FE7" w:rsidP="000726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ABFAE20" wp14:editId="7687C249">
                <wp:extent cx="304800" cy="304800"/>
                <wp:effectExtent l="0" t="0" r="0" b="0"/>
                <wp:docPr id="2" name="AutoShape 16" descr="https://insidefinance.umich.edu/wp-content/uploads/2016/06/tax-compliance-stationery-signature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93A83" id="AutoShape 16" o:spid="_x0000_s1026" alt="https://insidefinance.umich.edu/wp-content/uploads/2016/06/tax-compliance-stationery-signature-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WTzn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35615B" wp14:editId="07E4BD33">
            <wp:extent cx="34861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487AEF14" w14:textId="21B46CCF" w:rsidR="00F51412" w:rsidRDefault="000726C2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on the Taxation of Clothing: </w:t>
      </w:r>
      <w:r w:rsidR="00942689">
        <w:rPr>
          <w:rFonts w:ascii="Times New Roman" w:hAnsi="Times New Roman" w:cs="Times New Roman"/>
          <w:sz w:val="24"/>
          <w:szCs w:val="24"/>
        </w:rPr>
        <w:t>[Name of School, College or Unit (SCU)]</w:t>
      </w:r>
    </w:p>
    <w:p w14:paraId="672D0320" w14:textId="44DDC96D" w:rsidR="00717A97" w:rsidRDefault="00717A97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07F7D14" w14:textId="77777777" w:rsidR="00B0080E" w:rsidRDefault="00B0080E" w:rsidP="00B0080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  <w:lang w:val="en"/>
        </w:rPr>
        <w:t xml:space="preserve">The nation should have a tax system that looks like someone designed it on purpose – William E. Simon, </w:t>
      </w:r>
      <w:r>
        <w:rPr>
          <w:rFonts w:cstheme="minorHAnsi"/>
          <w:b/>
          <w:sz w:val="24"/>
          <w:szCs w:val="24"/>
        </w:rPr>
        <w:t xml:space="preserve">Former </w:t>
      </w:r>
      <w:r>
        <w:rPr>
          <w:rFonts w:cstheme="minorHAnsi"/>
          <w:b/>
          <w:color w:val="222222"/>
          <w:sz w:val="24"/>
          <w:szCs w:val="24"/>
        </w:rPr>
        <w:t>Secretary of Treasury of the U.S</w:t>
      </w:r>
    </w:p>
    <w:p w14:paraId="3CA53C0F" w14:textId="77777777" w:rsidR="000726C2" w:rsidRPr="00DD7763" w:rsidRDefault="000726C2" w:rsidP="000726C2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9B4187C" w14:textId="77777777" w:rsidR="000726C2" w:rsidRPr="00942689" w:rsidRDefault="00F51412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  <w:b/>
        </w:rPr>
        <w:t>I</w:t>
      </w:r>
      <w:r w:rsidRPr="00942689">
        <w:rPr>
          <w:rFonts w:ascii="Times New Roman" w:hAnsi="Times New Roman" w:cs="Times New Roman"/>
        </w:rPr>
        <w:t>.</w:t>
      </w:r>
      <w:r w:rsidRPr="00942689">
        <w:rPr>
          <w:rFonts w:ascii="Times New Roman" w:hAnsi="Times New Roman" w:cs="Times New Roman"/>
        </w:rPr>
        <w:tab/>
      </w:r>
      <w:r w:rsidR="00BA34B0" w:rsidRPr="00942689">
        <w:rPr>
          <w:rFonts w:ascii="Times New Roman" w:hAnsi="Times New Roman" w:cs="Times New Roman"/>
          <w:b/>
        </w:rPr>
        <w:t>Tax</w:t>
      </w:r>
      <w:r w:rsidRPr="00942689">
        <w:rPr>
          <w:rFonts w:ascii="Times New Roman" w:hAnsi="Times New Roman" w:cs="Times New Roman"/>
          <w:b/>
        </w:rPr>
        <w:t xml:space="preserve"> Law:</w:t>
      </w:r>
      <w:r w:rsidRPr="00942689">
        <w:rPr>
          <w:rFonts w:ascii="Times New Roman" w:hAnsi="Times New Roman" w:cs="Times New Roman"/>
        </w:rPr>
        <w:t xml:space="preserve"> The </w:t>
      </w:r>
      <w:r w:rsidR="000726C2" w:rsidRPr="00942689">
        <w:rPr>
          <w:rFonts w:ascii="Times New Roman" w:hAnsi="Times New Roman" w:cs="Times New Roman"/>
        </w:rPr>
        <w:t>Courts</w:t>
      </w:r>
      <w:r w:rsidRPr="00942689">
        <w:rPr>
          <w:rFonts w:ascii="Times New Roman" w:hAnsi="Times New Roman" w:cs="Times New Roman"/>
        </w:rPr>
        <w:t xml:space="preserve"> impose a higher standard on the tax-free reimbursement of clothing provided by U-M to its employees than virtually all other such reimbursed expenses.</w:t>
      </w:r>
      <w:r w:rsidR="00BA34B0" w:rsidRPr="00942689">
        <w:rPr>
          <w:rFonts w:ascii="Times New Roman" w:hAnsi="Times New Roman" w:cs="Times New Roman"/>
        </w:rPr>
        <w:t xml:space="preserve"> </w:t>
      </w:r>
    </w:p>
    <w:p w14:paraId="1B4CECD0" w14:textId="77777777" w:rsidR="000726C2" w:rsidRPr="00942689" w:rsidRDefault="000726C2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2F32BF4A" w14:textId="4CAEB633" w:rsidR="001233AF" w:rsidRPr="00942689" w:rsidRDefault="00DD7763" w:rsidP="000726C2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Clothing is deductible (in this case, reimbursable tax-free) only when</w:t>
      </w:r>
      <w:r w:rsidR="00942689">
        <w:rPr>
          <w:rFonts w:ascii="Times New Roman" w:hAnsi="Times New Roman" w:cs="Times New Roman"/>
        </w:rPr>
        <w:t>:</w:t>
      </w:r>
      <w:r w:rsidRPr="00942689">
        <w:rPr>
          <w:rFonts w:ascii="Times New Roman" w:hAnsi="Times New Roman" w:cs="Times New Roman"/>
        </w:rPr>
        <w:t xml:space="preserve"> </w:t>
      </w:r>
    </w:p>
    <w:p w14:paraId="48E1385F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(A) it is required by the employer</w:t>
      </w:r>
      <w:r w:rsidR="00197004" w:rsidRPr="00942689">
        <w:rPr>
          <w:rFonts w:ascii="Times New Roman" w:hAnsi="Times New Roman" w:cs="Times New Roman"/>
        </w:rPr>
        <w:t xml:space="preserve"> for business purposes,</w:t>
      </w:r>
      <w:r w:rsidRPr="00942689">
        <w:rPr>
          <w:rFonts w:ascii="Times New Roman" w:hAnsi="Times New Roman" w:cs="Times New Roman"/>
        </w:rPr>
        <w:t xml:space="preserve"> </w:t>
      </w:r>
    </w:p>
    <w:p w14:paraId="033C8116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(B) it is not suitable for general wear or use away from work, and </w:t>
      </w:r>
    </w:p>
    <w:p w14:paraId="4330E409" w14:textId="77777777" w:rsidR="001233AF" w:rsidRPr="00942689" w:rsidRDefault="00DD7763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(C) it is not, in fact, worn while away from work.</w:t>
      </w:r>
      <w:r w:rsidRPr="00942689">
        <w:rPr>
          <w:rStyle w:val="FootnoteReference"/>
          <w:rFonts w:ascii="Times New Roman" w:hAnsi="Times New Roman" w:cs="Times New Roman"/>
        </w:rPr>
        <w:footnoteReference w:id="1"/>
      </w:r>
      <w:r w:rsidR="00F51412" w:rsidRPr="00942689">
        <w:rPr>
          <w:rFonts w:ascii="Times New Roman" w:hAnsi="Times New Roman" w:cs="Times New Roman"/>
        </w:rPr>
        <w:t xml:space="preserve"> </w:t>
      </w:r>
    </w:p>
    <w:p w14:paraId="4BAB1571" w14:textId="77777777" w:rsidR="000726C2" w:rsidRPr="00942689" w:rsidRDefault="000726C2" w:rsidP="001233AF">
      <w:pPr>
        <w:spacing w:after="0"/>
        <w:ind w:left="720"/>
        <w:rPr>
          <w:rFonts w:ascii="Times New Roman" w:hAnsi="Times New Roman" w:cs="Times New Roman"/>
        </w:rPr>
      </w:pPr>
    </w:p>
    <w:p w14:paraId="45A90C35" w14:textId="7125A154" w:rsidR="00F51412" w:rsidRPr="00942689" w:rsidRDefault="00197004" w:rsidP="001233AF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Whereas virtually every other expense</w:t>
      </w:r>
      <w:r w:rsidR="00BA34B0" w:rsidRPr="00942689">
        <w:rPr>
          <w:rFonts w:ascii="Times New Roman" w:hAnsi="Times New Roman" w:cs="Times New Roman"/>
        </w:rPr>
        <w:t xml:space="preserve"> </w:t>
      </w:r>
      <w:r w:rsidR="00134474" w:rsidRPr="00942689">
        <w:rPr>
          <w:rFonts w:ascii="Times New Roman" w:hAnsi="Times New Roman" w:cs="Times New Roman"/>
        </w:rPr>
        <w:t xml:space="preserve">must </w:t>
      </w:r>
      <w:r w:rsidR="00BA34B0" w:rsidRPr="00942689">
        <w:rPr>
          <w:rFonts w:ascii="Times New Roman" w:hAnsi="Times New Roman" w:cs="Times New Roman"/>
        </w:rPr>
        <w:t xml:space="preserve">only </w:t>
      </w:r>
      <w:r w:rsidR="00134474" w:rsidRPr="00942689">
        <w:rPr>
          <w:rFonts w:ascii="Times New Roman" w:hAnsi="Times New Roman" w:cs="Times New Roman"/>
        </w:rPr>
        <w:t xml:space="preserve">meet prong </w:t>
      </w:r>
      <w:r w:rsidRPr="00942689">
        <w:rPr>
          <w:rFonts w:ascii="Times New Roman" w:hAnsi="Times New Roman" w:cs="Times New Roman"/>
        </w:rPr>
        <w:t xml:space="preserve">(A) above. For instance, </w:t>
      </w:r>
      <w:r w:rsidR="005A1042" w:rsidRPr="00942689">
        <w:rPr>
          <w:rFonts w:ascii="Times New Roman" w:hAnsi="Times New Roman" w:cs="Times New Roman"/>
        </w:rPr>
        <w:t xml:space="preserve">in carrying out their duties, </w:t>
      </w:r>
      <w:r w:rsidR="00BA34B0" w:rsidRPr="00942689">
        <w:rPr>
          <w:rFonts w:ascii="Times New Roman" w:hAnsi="Times New Roman" w:cs="Times New Roman"/>
        </w:rPr>
        <w:t>employees may use smart phones at home</w:t>
      </w:r>
      <w:r w:rsidR="005A1042" w:rsidRPr="00942689">
        <w:rPr>
          <w:rFonts w:ascii="Times New Roman" w:hAnsi="Times New Roman" w:cs="Times New Roman"/>
        </w:rPr>
        <w:t>, while out of town at conference</w:t>
      </w:r>
      <w:r w:rsidR="002D71EA" w:rsidRPr="00942689">
        <w:rPr>
          <w:rFonts w:ascii="Times New Roman" w:hAnsi="Times New Roman" w:cs="Times New Roman"/>
        </w:rPr>
        <w:t>s</w:t>
      </w:r>
      <w:r w:rsidR="00BA34B0" w:rsidRPr="00942689">
        <w:rPr>
          <w:rFonts w:ascii="Times New Roman" w:hAnsi="Times New Roman" w:cs="Times New Roman"/>
        </w:rPr>
        <w:t xml:space="preserve"> o</w:t>
      </w:r>
      <w:r w:rsidR="005A1042" w:rsidRPr="00942689">
        <w:rPr>
          <w:rFonts w:ascii="Times New Roman" w:hAnsi="Times New Roman" w:cs="Times New Roman"/>
        </w:rPr>
        <w:t>r at social events and</w:t>
      </w:r>
      <w:r w:rsidRPr="00942689">
        <w:rPr>
          <w:rFonts w:ascii="Times New Roman" w:hAnsi="Times New Roman" w:cs="Times New Roman"/>
        </w:rPr>
        <w:t>, provided these technology tools are used primar</w:t>
      </w:r>
      <w:r w:rsidR="00134474" w:rsidRPr="00942689">
        <w:rPr>
          <w:rFonts w:ascii="Times New Roman" w:hAnsi="Times New Roman" w:cs="Times New Roman"/>
        </w:rPr>
        <w:t>il</w:t>
      </w:r>
      <w:r w:rsidRPr="00942689">
        <w:rPr>
          <w:rFonts w:ascii="Times New Roman" w:hAnsi="Times New Roman" w:cs="Times New Roman"/>
        </w:rPr>
        <w:t>y for business purposes,</w:t>
      </w:r>
      <w:r w:rsidR="005A1042" w:rsidRPr="00942689">
        <w:rPr>
          <w:rFonts w:ascii="Times New Roman" w:hAnsi="Times New Roman" w:cs="Times New Roman"/>
        </w:rPr>
        <w:t xml:space="preserve"> </w:t>
      </w:r>
      <w:r w:rsidR="002D71EA" w:rsidRPr="00942689">
        <w:rPr>
          <w:rFonts w:ascii="Times New Roman" w:hAnsi="Times New Roman" w:cs="Times New Roman"/>
        </w:rPr>
        <w:t xml:space="preserve">may </w:t>
      </w:r>
      <w:r w:rsidR="005A1042" w:rsidRPr="00942689">
        <w:rPr>
          <w:rFonts w:ascii="Times New Roman" w:hAnsi="Times New Roman" w:cs="Times New Roman"/>
        </w:rPr>
        <w:t>be reimbursed the</w:t>
      </w:r>
      <w:r w:rsidR="00134474" w:rsidRPr="00942689">
        <w:rPr>
          <w:rFonts w:ascii="Times New Roman" w:hAnsi="Times New Roman" w:cs="Times New Roman"/>
        </w:rPr>
        <w:t>ir</w:t>
      </w:r>
      <w:r w:rsidR="005A1042" w:rsidRPr="00942689">
        <w:rPr>
          <w:rFonts w:ascii="Times New Roman" w:hAnsi="Times New Roman" w:cs="Times New Roman"/>
        </w:rPr>
        <w:t xml:space="preserve"> costs on a tax-free basis</w:t>
      </w:r>
      <w:r w:rsidR="00BA34B0" w:rsidRPr="00942689">
        <w:rPr>
          <w:rFonts w:ascii="Times New Roman" w:hAnsi="Times New Roman" w:cs="Times New Roman"/>
        </w:rPr>
        <w:t>.</w:t>
      </w:r>
      <w:r w:rsidR="005A1042" w:rsidRPr="00942689">
        <w:rPr>
          <w:rFonts w:ascii="Times New Roman" w:hAnsi="Times New Roman" w:cs="Times New Roman"/>
        </w:rPr>
        <w:t xml:space="preserve"> However, in addition to a business need, the clothing in question must not be suitable for general wear and must not be worn while away from work. </w:t>
      </w:r>
      <w:r w:rsidR="00BA34B0" w:rsidRPr="00942689">
        <w:rPr>
          <w:rFonts w:ascii="Times New Roman" w:hAnsi="Times New Roman" w:cs="Times New Roman"/>
        </w:rPr>
        <w:t xml:space="preserve">   </w:t>
      </w:r>
    </w:p>
    <w:p w14:paraId="01461D0F" w14:textId="77777777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79D566B8" w14:textId="07BEDC35" w:rsidR="002D71EA" w:rsidRPr="00942689" w:rsidRDefault="000D4FD1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ab/>
        <w:t>A noted</w:t>
      </w:r>
      <w:r w:rsidR="002D71EA" w:rsidRPr="00942689">
        <w:rPr>
          <w:rFonts w:ascii="Times New Roman" w:hAnsi="Times New Roman" w:cs="Times New Roman"/>
        </w:rPr>
        <w:t xml:space="preserve"> </w:t>
      </w:r>
      <w:r w:rsidR="008876AD" w:rsidRPr="00942689">
        <w:rPr>
          <w:rFonts w:ascii="Times New Roman" w:hAnsi="Times New Roman" w:cs="Times New Roman"/>
        </w:rPr>
        <w:t>exception</w:t>
      </w:r>
      <w:r w:rsidR="002D71EA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to</w:t>
      </w:r>
      <w:r w:rsidR="002D71EA" w:rsidRPr="00942689">
        <w:rPr>
          <w:rFonts w:ascii="Times New Roman" w:hAnsi="Times New Roman" w:cs="Times New Roman"/>
        </w:rPr>
        <w:t xml:space="preserve"> forego taxation with respect to clothing </w:t>
      </w:r>
      <w:r w:rsidRPr="00942689">
        <w:rPr>
          <w:rFonts w:ascii="Times New Roman" w:hAnsi="Times New Roman" w:cs="Times New Roman"/>
        </w:rPr>
        <w:t>includes</w:t>
      </w:r>
      <w:r w:rsidR="002D71EA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items</w:t>
      </w:r>
      <w:r w:rsidR="002D71EA" w:rsidRPr="00942689">
        <w:rPr>
          <w:rFonts w:ascii="Times New Roman" w:hAnsi="Times New Roman" w:cs="Times New Roman"/>
        </w:rPr>
        <w:t xml:space="preserve"> provided </w:t>
      </w:r>
      <w:r w:rsidRPr="00942689">
        <w:rPr>
          <w:rFonts w:ascii="Times New Roman" w:hAnsi="Times New Roman" w:cs="Times New Roman"/>
        </w:rPr>
        <w:t xml:space="preserve">by the employer to its employees that </w:t>
      </w:r>
      <w:r w:rsidR="002D71EA" w:rsidRPr="00942689">
        <w:rPr>
          <w:rFonts w:ascii="Times New Roman" w:hAnsi="Times New Roman" w:cs="Times New Roman"/>
        </w:rPr>
        <w:t xml:space="preserve">in the aggregate </w:t>
      </w:r>
      <w:r w:rsidR="000726C2" w:rsidRPr="00942689">
        <w:rPr>
          <w:rFonts w:ascii="Times New Roman" w:hAnsi="Times New Roman" w:cs="Times New Roman"/>
        </w:rPr>
        <w:t xml:space="preserve">for the calendar year </w:t>
      </w:r>
      <w:r w:rsidR="002D71EA" w:rsidRPr="00942689">
        <w:rPr>
          <w:rFonts w:ascii="Times New Roman" w:hAnsi="Times New Roman" w:cs="Times New Roman"/>
        </w:rPr>
        <w:t>are less than $75.</w:t>
      </w:r>
      <w:r w:rsidR="002D71EA" w:rsidRPr="00942689">
        <w:rPr>
          <w:rStyle w:val="FootnoteReference"/>
          <w:rFonts w:ascii="Times New Roman" w:hAnsi="Times New Roman" w:cs="Times New Roman"/>
        </w:rPr>
        <w:footnoteReference w:id="2"/>
      </w:r>
      <w:r w:rsidR="002D71EA" w:rsidRPr="00942689">
        <w:rPr>
          <w:rFonts w:ascii="Times New Roman" w:hAnsi="Times New Roman" w:cs="Times New Roman"/>
        </w:rPr>
        <w:t xml:space="preserve"> </w:t>
      </w:r>
    </w:p>
    <w:p w14:paraId="0AD28960" w14:textId="77777777" w:rsidR="002D71EA" w:rsidRPr="00942689" w:rsidRDefault="002D71EA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 </w:t>
      </w:r>
    </w:p>
    <w:p w14:paraId="49ECCF83" w14:textId="554AED11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  <w:b/>
        </w:rPr>
        <w:t>II.</w:t>
      </w:r>
      <w:r w:rsidRPr="00942689">
        <w:rPr>
          <w:rFonts w:ascii="Times New Roman" w:hAnsi="Times New Roman" w:cs="Times New Roman"/>
        </w:rPr>
        <w:tab/>
      </w:r>
      <w:r w:rsidRPr="00942689">
        <w:rPr>
          <w:rFonts w:ascii="Times New Roman" w:hAnsi="Times New Roman" w:cs="Times New Roman"/>
          <w:b/>
        </w:rPr>
        <w:t>Examples:</w:t>
      </w:r>
      <w:r w:rsidRPr="00942689">
        <w:rPr>
          <w:rFonts w:ascii="Times New Roman" w:hAnsi="Times New Roman" w:cs="Times New Roman"/>
        </w:rPr>
        <w:t xml:space="preserve"> </w:t>
      </w:r>
    </w:p>
    <w:p w14:paraId="1CE1B1CE" w14:textId="77777777" w:rsidR="00DD7763" w:rsidRPr="00942689" w:rsidRDefault="00DD7763" w:rsidP="00F51412">
      <w:pPr>
        <w:spacing w:after="0"/>
        <w:ind w:left="720" w:hanging="720"/>
        <w:rPr>
          <w:rFonts w:ascii="Times New Roman" w:hAnsi="Times New Roman" w:cs="Times New Roman"/>
        </w:rPr>
      </w:pPr>
    </w:p>
    <w:p w14:paraId="196EDDD1" w14:textId="77777777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A.</w:t>
      </w:r>
      <w:r w:rsidRPr="00942689">
        <w:rPr>
          <w:rFonts w:ascii="Times New Roman" w:hAnsi="Times New Roman" w:cs="Times New Roman"/>
        </w:rPr>
        <w:tab/>
        <w:t xml:space="preserve">The taxpayer sought to deduct the cost of aprons that he used in his job to buffer and polish rough plastics. The </w:t>
      </w:r>
      <w:r w:rsidR="00134474" w:rsidRPr="00942689">
        <w:rPr>
          <w:rFonts w:ascii="Times New Roman" w:hAnsi="Times New Roman" w:cs="Times New Roman"/>
          <w:u w:val="single"/>
        </w:rPr>
        <w:t>Connelly</w:t>
      </w:r>
      <w:r w:rsidR="00134474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>court denied the expense because the clothing was adaptable to general usage.</w:t>
      </w:r>
      <w:r w:rsidRPr="00942689">
        <w:rPr>
          <w:rStyle w:val="FootnoteReference"/>
          <w:rFonts w:ascii="Times New Roman" w:hAnsi="Times New Roman" w:cs="Times New Roman"/>
        </w:rPr>
        <w:footnoteReference w:id="3"/>
      </w:r>
      <w:r w:rsidRPr="00942689">
        <w:rPr>
          <w:rFonts w:ascii="Times New Roman" w:hAnsi="Times New Roman" w:cs="Times New Roman"/>
        </w:rPr>
        <w:t xml:space="preserve"> </w:t>
      </w:r>
      <w:r w:rsidR="00134474" w:rsidRPr="00942689">
        <w:rPr>
          <w:rFonts w:ascii="Times New Roman" w:hAnsi="Times New Roman" w:cs="Times New Roman"/>
        </w:rPr>
        <w:t>Although the aprons were faded and worn out, the court still considered them to be subject to taxable income</w:t>
      </w:r>
      <w:r w:rsidRPr="00942689">
        <w:rPr>
          <w:rFonts w:ascii="Times New Roman" w:hAnsi="Times New Roman" w:cs="Times New Roman"/>
        </w:rPr>
        <w:t>.</w:t>
      </w:r>
      <w:r w:rsidRPr="00942689">
        <w:rPr>
          <w:rStyle w:val="FootnoteReference"/>
          <w:rFonts w:ascii="Times New Roman" w:hAnsi="Times New Roman" w:cs="Times New Roman"/>
        </w:rPr>
        <w:footnoteReference w:id="4"/>
      </w:r>
    </w:p>
    <w:p w14:paraId="4D405452" w14:textId="77777777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</w:p>
    <w:p w14:paraId="37EFACE0" w14:textId="0E102214" w:rsidR="00DD7763" w:rsidRPr="00942689" w:rsidRDefault="00DD7763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B.</w:t>
      </w:r>
      <w:r w:rsidRPr="00942689">
        <w:rPr>
          <w:rFonts w:ascii="Times New Roman" w:hAnsi="Times New Roman" w:cs="Times New Roman"/>
        </w:rPr>
        <w:tab/>
      </w:r>
      <w:r w:rsidR="004765AF" w:rsidRPr="00942689">
        <w:rPr>
          <w:rFonts w:ascii="Times New Roman" w:hAnsi="Times New Roman" w:cs="Times New Roman"/>
        </w:rPr>
        <w:t xml:space="preserve">The courts </w:t>
      </w:r>
      <w:r w:rsidR="00134474" w:rsidRPr="00942689">
        <w:rPr>
          <w:rFonts w:ascii="Times New Roman" w:hAnsi="Times New Roman" w:cs="Times New Roman"/>
        </w:rPr>
        <w:t xml:space="preserve">have </w:t>
      </w:r>
      <w:r w:rsidR="004765AF" w:rsidRPr="00942689">
        <w:rPr>
          <w:rFonts w:ascii="Times New Roman" w:hAnsi="Times New Roman" w:cs="Times New Roman"/>
        </w:rPr>
        <w:t>held that pilots must include certain portions of their uniforms in taxation since they were suitable for street or home use. Clothing included black socks, a black raincoat, and black shoes.</w:t>
      </w:r>
      <w:r w:rsidR="004765AF" w:rsidRPr="00942689">
        <w:rPr>
          <w:rStyle w:val="FootnoteReference"/>
          <w:rFonts w:ascii="Times New Roman" w:hAnsi="Times New Roman" w:cs="Times New Roman"/>
        </w:rPr>
        <w:footnoteReference w:id="5"/>
      </w:r>
      <w:r w:rsidR="004765AF" w:rsidRPr="00942689">
        <w:rPr>
          <w:rFonts w:ascii="Times New Roman" w:hAnsi="Times New Roman" w:cs="Times New Roman"/>
        </w:rPr>
        <w:t xml:space="preserve"> These cases analyzed each piece of clothing to determine whether the items were subject to taxation.</w:t>
      </w:r>
    </w:p>
    <w:p w14:paraId="00C7D41D" w14:textId="77777777" w:rsidR="004765AF" w:rsidRPr="00942689" w:rsidRDefault="004765AF" w:rsidP="00DD7763">
      <w:pPr>
        <w:spacing w:after="0"/>
        <w:ind w:left="1440" w:hanging="720"/>
        <w:rPr>
          <w:rFonts w:ascii="Times New Roman" w:hAnsi="Times New Roman" w:cs="Times New Roman"/>
        </w:rPr>
      </w:pPr>
    </w:p>
    <w:p w14:paraId="0D20FBA2" w14:textId="77777777" w:rsidR="004765AF" w:rsidRPr="00942689" w:rsidRDefault="004765AF" w:rsidP="00DD7763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lastRenderedPageBreak/>
        <w:t>C.</w:t>
      </w:r>
      <w:r w:rsidRPr="00942689">
        <w:rPr>
          <w:rFonts w:ascii="Times New Roman" w:hAnsi="Times New Roman" w:cs="Times New Roman"/>
        </w:rPr>
        <w:tab/>
        <w:t xml:space="preserve">The </w:t>
      </w:r>
      <w:r w:rsidR="00134474" w:rsidRPr="00942689">
        <w:rPr>
          <w:rFonts w:ascii="Times New Roman" w:hAnsi="Times New Roman" w:cs="Times New Roman"/>
          <w:u w:val="single"/>
        </w:rPr>
        <w:t>Pevsner</w:t>
      </w:r>
      <w:r w:rsidR="00134474" w:rsidRPr="00942689">
        <w:rPr>
          <w:rFonts w:ascii="Times New Roman" w:hAnsi="Times New Roman" w:cs="Times New Roman"/>
        </w:rPr>
        <w:t xml:space="preserve"> </w:t>
      </w:r>
      <w:r w:rsidRPr="00942689">
        <w:rPr>
          <w:rFonts w:ascii="Times New Roman" w:hAnsi="Times New Roman" w:cs="Times New Roman"/>
        </w:rPr>
        <w:t xml:space="preserve">court held that a manager who was required to purchase and wear clothing </w:t>
      </w:r>
      <w:r w:rsidR="005D6519" w:rsidRPr="00942689">
        <w:rPr>
          <w:rFonts w:ascii="Times New Roman" w:hAnsi="Times New Roman" w:cs="Times New Roman"/>
        </w:rPr>
        <w:t xml:space="preserve">for her job with Yves St. Laurent </w:t>
      </w:r>
      <w:r w:rsidRPr="00942689">
        <w:rPr>
          <w:rFonts w:ascii="Times New Roman" w:hAnsi="Times New Roman" w:cs="Times New Roman"/>
        </w:rPr>
        <w:t xml:space="preserve">must include the value of the clothing into </w:t>
      </w:r>
      <w:r w:rsidR="005D6519" w:rsidRPr="00942689">
        <w:rPr>
          <w:rFonts w:ascii="Times New Roman" w:hAnsi="Times New Roman" w:cs="Times New Roman"/>
        </w:rPr>
        <w:t xml:space="preserve">her </w:t>
      </w:r>
      <w:r w:rsidRPr="00942689">
        <w:rPr>
          <w:rFonts w:ascii="Times New Roman" w:hAnsi="Times New Roman" w:cs="Times New Roman"/>
        </w:rPr>
        <w:t xml:space="preserve">taxable income notwithstanding </w:t>
      </w:r>
      <w:r w:rsidR="005A1042" w:rsidRPr="00942689">
        <w:rPr>
          <w:rFonts w:ascii="Times New Roman" w:hAnsi="Times New Roman" w:cs="Times New Roman"/>
        </w:rPr>
        <w:t xml:space="preserve">the fact </w:t>
      </w:r>
      <w:r w:rsidRPr="00942689">
        <w:rPr>
          <w:rFonts w:ascii="Times New Roman" w:hAnsi="Times New Roman" w:cs="Times New Roman"/>
        </w:rPr>
        <w:t xml:space="preserve">that </w:t>
      </w:r>
      <w:r w:rsidR="005D6519" w:rsidRPr="00942689">
        <w:rPr>
          <w:rFonts w:ascii="Times New Roman" w:hAnsi="Times New Roman" w:cs="Times New Roman"/>
        </w:rPr>
        <w:t>she d</w:t>
      </w:r>
      <w:r w:rsidRPr="00942689">
        <w:rPr>
          <w:rFonts w:ascii="Times New Roman" w:hAnsi="Times New Roman" w:cs="Times New Roman"/>
        </w:rPr>
        <w:t xml:space="preserve">id not wear the clothing </w:t>
      </w:r>
      <w:r w:rsidR="001233AF" w:rsidRPr="00942689">
        <w:rPr>
          <w:rFonts w:ascii="Times New Roman" w:hAnsi="Times New Roman" w:cs="Times New Roman"/>
        </w:rPr>
        <w:t xml:space="preserve">after hours </w:t>
      </w:r>
      <w:r w:rsidRPr="00942689">
        <w:rPr>
          <w:rFonts w:ascii="Times New Roman" w:hAnsi="Times New Roman" w:cs="Times New Roman"/>
        </w:rPr>
        <w:t xml:space="preserve">because it was inconsistent </w:t>
      </w:r>
      <w:r w:rsidR="005D6519" w:rsidRPr="00942689">
        <w:rPr>
          <w:rFonts w:ascii="Times New Roman" w:hAnsi="Times New Roman" w:cs="Times New Roman"/>
        </w:rPr>
        <w:t>with her simple and private lifestyle.</w:t>
      </w:r>
      <w:r w:rsidR="005D6519" w:rsidRPr="00942689">
        <w:rPr>
          <w:rStyle w:val="FootnoteReference"/>
          <w:rFonts w:ascii="Times New Roman" w:hAnsi="Times New Roman" w:cs="Times New Roman"/>
        </w:rPr>
        <w:footnoteReference w:id="6"/>
      </w:r>
      <w:r w:rsidR="005D6519" w:rsidRPr="00942689">
        <w:rPr>
          <w:rFonts w:ascii="Times New Roman" w:hAnsi="Times New Roman" w:cs="Times New Roman"/>
        </w:rPr>
        <w:t xml:space="preserve"> The courts adopted an objective rather than a subjective test when analyzing suitability for ordinary wear.</w:t>
      </w:r>
    </w:p>
    <w:p w14:paraId="456237F1" w14:textId="77777777" w:rsidR="005A1042" w:rsidRPr="00942689" w:rsidRDefault="005A1042" w:rsidP="005A1042">
      <w:pPr>
        <w:spacing w:after="0"/>
        <w:rPr>
          <w:rFonts w:ascii="Times New Roman" w:hAnsi="Times New Roman" w:cs="Times New Roman"/>
        </w:rPr>
      </w:pPr>
    </w:p>
    <w:p w14:paraId="6408DF78" w14:textId="405946D1" w:rsidR="005A1042" w:rsidRPr="00942689" w:rsidRDefault="005A1042" w:rsidP="005A1042">
      <w:pPr>
        <w:spacing w:after="0"/>
        <w:rPr>
          <w:rFonts w:ascii="Times New Roman" w:hAnsi="Times New Roman" w:cs="Times New Roman"/>
          <w:b/>
        </w:rPr>
      </w:pPr>
      <w:r w:rsidRPr="00942689">
        <w:rPr>
          <w:rFonts w:ascii="Times New Roman" w:hAnsi="Times New Roman" w:cs="Times New Roman"/>
          <w:b/>
        </w:rPr>
        <w:t>I</w:t>
      </w:r>
      <w:r w:rsidR="000726C2" w:rsidRPr="00942689">
        <w:rPr>
          <w:rFonts w:ascii="Times New Roman" w:hAnsi="Times New Roman" w:cs="Times New Roman"/>
          <w:b/>
        </w:rPr>
        <w:t>II</w:t>
      </w:r>
      <w:r w:rsidRPr="00942689">
        <w:rPr>
          <w:rFonts w:ascii="Times New Roman" w:hAnsi="Times New Roman" w:cs="Times New Roman"/>
          <w:b/>
        </w:rPr>
        <w:t>.</w:t>
      </w:r>
      <w:r w:rsidRPr="00942689">
        <w:rPr>
          <w:rFonts w:ascii="Times New Roman" w:hAnsi="Times New Roman" w:cs="Times New Roman"/>
          <w:b/>
        </w:rPr>
        <w:tab/>
      </w:r>
      <w:r w:rsidR="00EE22C7" w:rsidRPr="00942689">
        <w:rPr>
          <w:rFonts w:ascii="Times New Roman" w:hAnsi="Times New Roman" w:cs="Times New Roman"/>
          <w:b/>
        </w:rPr>
        <w:t>IRS Enforcement</w:t>
      </w:r>
    </w:p>
    <w:p w14:paraId="4371E8B1" w14:textId="77777777" w:rsidR="00EE22C7" w:rsidRPr="00942689" w:rsidRDefault="00EE22C7" w:rsidP="005A1042">
      <w:pPr>
        <w:spacing w:after="0"/>
        <w:rPr>
          <w:rFonts w:ascii="Times New Roman" w:hAnsi="Times New Roman" w:cs="Times New Roman"/>
          <w:b/>
        </w:rPr>
      </w:pPr>
    </w:p>
    <w:p w14:paraId="58E96FDD" w14:textId="23CBFD5A" w:rsidR="00B0080E" w:rsidRPr="00942689" w:rsidRDefault="00B0080E" w:rsidP="00EE22C7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The Internal Revenue Service (IRS) closely scrutinizes this issue and will request specific and detailed documentation upon examination, resulting in possible tax liabilities assessed against </w:t>
      </w:r>
      <w:r w:rsidR="00A91E6D">
        <w:rPr>
          <w:rFonts w:ascii="Times New Roman" w:hAnsi="Times New Roman" w:cs="Times New Roman"/>
        </w:rPr>
        <w:t>U-M</w:t>
      </w:r>
      <w:r w:rsidRPr="00942689">
        <w:rPr>
          <w:rFonts w:ascii="Times New Roman" w:hAnsi="Times New Roman" w:cs="Times New Roman"/>
        </w:rPr>
        <w:t xml:space="preserve"> employees as well as significantly increasing its administrative burden.  </w:t>
      </w:r>
    </w:p>
    <w:p w14:paraId="46D54505" w14:textId="77777777" w:rsidR="00B0080E" w:rsidRPr="00942689" w:rsidRDefault="00B0080E" w:rsidP="00EE22C7">
      <w:pPr>
        <w:spacing w:after="0"/>
        <w:ind w:left="720"/>
        <w:rPr>
          <w:rFonts w:ascii="Times New Roman" w:hAnsi="Times New Roman" w:cs="Times New Roman"/>
        </w:rPr>
      </w:pPr>
    </w:p>
    <w:p w14:paraId="03F8AFF0" w14:textId="2FE0D85F" w:rsidR="00EE22C7" w:rsidRPr="00942689" w:rsidRDefault="00EE22C7" w:rsidP="00EE22C7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The IRS recently audited the University of Louisville, Michigan State University and Florida State University on the use of its clothing. </w:t>
      </w:r>
      <w:r w:rsidR="00134474" w:rsidRPr="00942689">
        <w:rPr>
          <w:rFonts w:ascii="Times New Roman" w:hAnsi="Times New Roman" w:cs="Times New Roman"/>
        </w:rPr>
        <w:t xml:space="preserve">The IRS auditors requested </w:t>
      </w:r>
      <w:r w:rsidRPr="00942689">
        <w:rPr>
          <w:rFonts w:ascii="Times New Roman" w:hAnsi="Times New Roman" w:cs="Times New Roman"/>
        </w:rPr>
        <w:t>the following</w:t>
      </w:r>
      <w:r w:rsidR="00134474" w:rsidRPr="00942689">
        <w:rPr>
          <w:rFonts w:ascii="Times New Roman" w:hAnsi="Times New Roman" w:cs="Times New Roman"/>
        </w:rPr>
        <w:t xml:space="preserve"> information regarding clothing</w:t>
      </w:r>
      <w:r w:rsidRPr="00942689">
        <w:rPr>
          <w:rFonts w:ascii="Times New Roman" w:hAnsi="Times New Roman" w:cs="Times New Roman"/>
        </w:rPr>
        <w:t>:</w:t>
      </w:r>
    </w:p>
    <w:p w14:paraId="7682314C" w14:textId="77777777" w:rsidR="00EE22C7" w:rsidRPr="00942689" w:rsidRDefault="00EE22C7" w:rsidP="005A1042">
      <w:pPr>
        <w:spacing w:after="0"/>
        <w:rPr>
          <w:rFonts w:ascii="Times New Roman" w:hAnsi="Times New Roman" w:cs="Times New Roman"/>
        </w:rPr>
      </w:pPr>
    </w:p>
    <w:p w14:paraId="7BAA29C4" w14:textId="05C66069" w:rsidR="00EE22C7" w:rsidRPr="00942689" w:rsidRDefault="00EE22C7" w:rsidP="00EE22C7">
      <w:pPr>
        <w:spacing w:after="0"/>
        <w:ind w:left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Provide “all written policies on …clothing”, including “a list of uniform items given to employees with the sample photos of employee uniforms. Or have sample clothing items available on </w:t>
      </w:r>
      <w:r w:rsidR="00942689">
        <w:rPr>
          <w:rFonts w:ascii="Times New Roman" w:hAnsi="Times New Roman" w:cs="Times New Roman"/>
        </w:rPr>
        <w:t xml:space="preserve">the </w:t>
      </w:r>
      <w:r w:rsidRPr="00942689">
        <w:rPr>
          <w:rFonts w:ascii="Times New Roman" w:hAnsi="Times New Roman" w:cs="Times New Roman"/>
        </w:rPr>
        <w:t>day of appointment”.</w:t>
      </w:r>
    </w:p>
    <w:p w14:paraId="4A113977" w14:textId="77777777" w:rsidR="00EE22C7" w:rsidRPr="00942689" w:rsidRDefault="00EE22C7" w:rsidP="005A1042">
      <w:pPr>
        <w:spacing w:after="0"/>
        <w:rPr>
          <w:rFonts w:ascii="Times New Roman" w:hAnsi="Times New Roman" w:cs="Times New Roman"/>
        </w:rPr>
      </w:pPr>
    </w:p>
    <w:p w14:paraId="11D66E6A" w14:textId="3BFE9E90" w:rsidR="00EE22C7" w:rsidRPr="00942689" w:rsidRDefault="000726C2" w:rsidP="005A1042">
      <w:pPr>
        <w:spacing w:after="0"/>
        <w:rPr>
          <w:rFonts w:ascii="Times New Roman" w:hAnsi="Times New Roman" w:cs="Times New Roman"/>
          <w:b/>
        </w:rPr>
      </w:pPr>
      <w:r w:rsidRPr="00942689">
        <w:rPr>
          <w:rFonts w:ascii="Times New Roman" w:hAnsi="Times New Roman" w:cs="Times New Roman"/>
          <w:b/>
        </w:rPr>
        <w:t>I</w:t>
      </w:r>
      <w:r w:rsidR="00EE22C7" w:rsidRPr="00942689">
        <w:rPr>
          <w:rFonts w:ascii="Times New Roman" w:hAnsi="Times New Roman" w:cs="Times New Roman"/>
          <w:b/>
        </w:rPr>
        <w:t>V.</w:t>
      </w:r>
      <w:r w:rsidR="00EE22C7" w:rsidRPr="00942689">
        <w:rPr>
          <w:rFonts w:ascii="Times New Roman" w:hAnsi="Times New Roman" w:cs="Times New Roman"/>
          <w:b/>
        </w:rPr>
        <w:tab/>
        <w:t>Recommended Approach to Minimize Taxes</w:t>
      </w:r>
    </w:p>
    <w:p w14:paraId="5A0AA1BA" w14:textId="77777777" w:rsidR="00717A97" w:rsidRPr="00942689" w:rsidRDefault="00717A97" w:rsidP="00717A97">
      <w:pPr>
        <w:spacing w:after="0"/>
        <w:rPr>
          <w:rFonts w:ascii="Times New Roman" w:hAnsi="Times New Roman" w:cs="Times New Roman"/>
        </w:rPr>
      </w:pPr>
    </w:p>
    <w:p w14:paraId="6A56865D" w14:textId="63668AFA" w:rsidR="006A5AB3" w:rsidRPr="00942689" w:rsidRDefault="00717A97" w:rsidP="00717A97">
      <w:pPr>
        <w:spacing w:after="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Eliminate clothing that meets </w:t>
      </w:r>
      <w:r w:rsidR="00A91E6D">
        <w:rPr>
          <w:rFonts w:ascii="Times New Roman" w:hAnsi="Times New Roman" w:cs="Times New Roman"/>
        </w:rPr>
        <w:t xml:space="preserve">the </w:t>
      </w:r>
      <w:r w:rsidRPr="00942689">
        <w:rPr>
          <w:rFonts w:ascii="Times New Roman" w:hAnsi="Times New Roman" w:cs="Times New Roman"/>
        </w:rPr>
        <w:t>de minimis exception, i.e., less than $75 in the aggregate for the calendar year.</w:t>
      </w:r>
    </w:p>
    <w:p w14:paraId="47847BEF" w14:textId="77777777" w:rsidR="00EE22C7" w:rsidRPr="00942689" w:rsidRDefault="00AC0129" w:rsidP="00EE22C7">
      <w:pPr>
        <w:spacing w:after="0"/>
        <w:ind w:left="1440" w:hanging="72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F889" wp14:editId="0A5D83A7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0" cy="20002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D7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.05pt;width:0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" strokecolor="black [3040]">
                <v:stroke endarrow="block"/>
              </v:shape>
            </w:pict>
          </mc:Fallback>
        </mc:AlternateContent>
      </w:r>
      <w:r w:rsidR="00EE22C7" w:rsidRPr="00942689">
        <w:rPr>
          <w:rFonts w:ascii="Times New Roman" w:hAnsi="Times New Roman" w:cs="Times New Roman"/>
        </w:rPr>
        <w:t xml:space="preserve">  </w:t>
      </w:r>
    </w:p>
    <w:p w14:paraId="40935851" w14:textId="3B2B259C" w:rsidR="006A5AB3" w:rsidRPr="00942689" w:rsidRDefault="00EE22C7" w:rsidP="006C3855">
      <w:pPr>
        <w:spacing w:after="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 xml:space="preserve">Separate clothing from equipment. Equipment is held to the general standard of </w:t>
      </w:r>
      <w:r w:rsidR="006A5AB3" w:rsidRPr="00942689">
        <w:rPr>
          <w:rFonts w:ascii="Times New Roman" w:hAnsi="Times New Roman" w:cs="Times New Roman"/>
        </w:rPr>
        <w:t xml:space="preserve">a </w:t>
      </w:r>
      <w:r w:rsidRPr="00942689">
        <w:rPr>
          <w:rFonts w:ascii="Times New Roman" w:hAnsi="Times New Roman" w:cs="Times New Roman"/>
        </w:rPr>
        <w:t>business need</w:t>
      </w:r>
      <w:r w:rsidR="006A5AB3" w:rsidRPr="00942689">
        <w:rPr>
          <w:rFonts w:ascii="Times New Roman" w:hAnsi="Times New Roman" w:cs="Times New Roman"/>
        </w:rPr>
        <w:t xml:space="preserve"> and, thus, may be used off campus when primarily furthering a business purpose</w:t>
      </w:r>
      <w:r w:rsidR="00717A97" w:rsidRPr="00942689">
        <w:rPr>
          <w:rFonts w:ascii="Times New Roman" w:hAnsi="Times New Roman" w:cs="Times New Roman"/>
        </w:rPr>
        <w:t xml:space="preserve">, e.g., computers, consoles, </w:t>
      </w:r>
      <w:r w:rsidR="00FF680B" w:rsidRPr="00942689">
        <w:rPr>
          <w:rFonts w:ascii="Times New Roman" w:hAnsi="Times New Roman" w:cs="Times New Roman"/>
        </w:rPr>
        <w:t>equipment with U-M logos</w:t>
      </w:r>
      <w:r w:rsidR="00717A97" w:rsidRPr="00942689">
        <w:rPr>
          <w:rFonts w:ascii="Times New Roman" w:hAnsi="Times New Roman" w:cs="Times New Roman"/>
        </w:rPr>
        <w:t>, etc.</w:t>
      </w:r>
      <w:r w:rsidR="00511911" w:rsidRPr="00942689">
        <w:rPr>
          <w:rStyle w:val="FootnoteReference"/>
          <w:rFonts w:ascii="Times New Roman" w:hAnsi="Times New Roman" w:cs="Times New Roman"/>
        </w:rPr>
        <w:footnoteReference w:id="7"/>
      </w:r>
      <w:r w:rsidR="006C3855" w:rsidRPr="00942689">
        <w:rPr>
          <w:rFonts w:ascii="Times New Roman" w:hAnsi="Times New Roman" w:cs="Times New Roman"/>
        </w:rPr>
        <w:t xml:space="preserve"> </w:t>
      </w:r>
    </w:p>
    <w:p w14:paraId="6FAFE2C1" w14:textId="781006F4" w:rsidR="00511911" w:rsidRPr="00942689" w:rsidRDefault="00942689" w:rsidP="00717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AF8F" wp14:editId="6D04A94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0" cy="180975"/>
                <wp:effectExtent l="76200" t="0" r="57150" b="47625"/>
                <wp:wrapNone/>
                <wp:docPr id="81176712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5D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.45pt;width:0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+c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" strokecolor="black [3040]">
                <v:stroke endarrow="block"/>
              </v:shape>
            </w:pict>
          </mc:Fallback>
        </mc:AlternateContent>
      </w:r>
    </w:p>
    <w:p w14:paraId="5095088A" w14:textId="77777777" w:rsidR="00A91E6D" w:rsidRDefault="006A5AB3" w:rsidP="00AC0129">
      <w:pPr>
        <w:spacing w:after="0"/>
        <w:rPr>
          <w:rFonts w:ascii="Times New Roman" w:hAnsi="Times New Roman" w:cs="Times New Roman"/>
        </w:rPr>
      </w:pPr>
      <w:r w:rsidRPr="00942689">
        <w:rPr>
          <w:rFonts w:ascii="Times New Roman" w:hAnsi="Times New Roman" w:cs="Times New Roman"/>
        </w:rPr>
        <w:t>Identify clothing that is not suitable for general wear or use away from work, e.g.</w:t>
      </w:r>
      <w:r w:rsidR="00717A97" w:rsidRPr="00942689">
        <w:rPr>
          <w:rFonts w:ascii="Times New Roman" w:hAnsi="Times New Roman" w:cs="Times New Roman"/>
        </w:rPr>
        <w:t>, academic regalia</w:t>
      </w:r>
      <w:r w:rsidR="001160DF" w:rsidRPr="00942689">
        <w:rPr>
          <w:rFonts w:ascii="Times New Roman" w:hAnsi="Times New Roman" w:cs="Times New Roman"/>
        </w:rPr>
        <w:t>.</w:t>
      </w:r>
      <w:r w:rsidR="00B0080E" w:rsidRPr="00942689">
        <w:rPr>
          <w:rFonts w:ascii="Times New Roman" w:hAnsi="Times New Roman" w:cs="Times New Roman"/>
        </w:rPr>
        <w:t xml:space="preserve"> </w:t>
      </w:r>
    </w:p>
    <w:p w14:paraId="37E4AC22" w14:textId="77777777" w:rsidR="00A91E6D" w:rsidRDefault="00A91E6D" w:rsidP="00AC0129">
      <w:pPr>
        <w:spacing w:after="0"/>
        <w:rPr>
          <w:rFonts w:ascii="Times New Roman" w:hAnsi="Times New Roman" w:cs="Times New Roman"/>
        </w:rPr>
      </w:pPr>
    </w:p>
    <w:p w14:paraId="499B0351" w14:textId="5DD3B48C" w:rsidR="001160DF" w:rsidRPr="00942689" w:rsidRDefault="00A91E6D" w:rsidP="00AC01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B0080E" w:rsidRPr="00942689">
        <w:rPr>
          <w:rFonts w:ascii="Times New Roman" w:hAnsi="Times New Roman" w:cs="Times New Roman"/>
        </w:rPr>
        <w:t xml:space="preserve">To minimize tax risks, it is highly recommended that </w:t>
      </w:r>
      <w:r>
        <w:rPr>
          <w:rFonts w:ascii="Times New Roman" w:hAnsi="Times New Roman" w:cs="Times New Roman"/>
        </w:rPr>
        <w:t xml:space="preserve">the </w:t>
      </w:r>
      <w:r w:rsidR="0048479A">
        <w:rPr>
          <w:rFonts w:ascii="Times New Roman" w:hAnsi="Times New Roman" w:cs="Times New Roman"/>
        </w:rPr>
        <w:t xml:space="preserve">SCU </w:t>
      </w:r>
      <w:r w:rsidR="00B0080E" w:rsidRPr="00942689">
        <w:rPr>
          <w:rFonts w:ascii="Times New Roman" w:hAnsi="Times New Roman" w:cs="Times New Roman"/>
        </w:rPr>
        <w:t xml:space="preserve">include in its guidelines on faculty attire that the use of the clothing is limited </w:t>
      </w:r>
      <w:r w:rsidR="00132732" w:rsidRPr="00942689">
        <w:rPr>
          <w:rFonts w:ascii="Times New Roman" w:hAnsi="Times New Roman" w:cs="Times New Roman"/>
        </w:rPr>
        <w:t xml:space="preserve">exclusively </w:t>
      </w:r>
      <w:r w:rsidR="00B0080E" w:rsidRPr="00942689">
        <w:rPr>
          <w:rFonts w:ascii="Times New Roman" w:hAnsi="Times New Roman" w:cs="Times New Roman"/>
        </w:rPr>
        <w:t>to university events only. Alternatively, the clothing m</w:t>
      </w:r>
      <w:r>
        <w:rPr>
          <w:rFonts w:ascii="Times New Roman" w:hAnsi="Times New Roman" w:cs="Times New Roman"/>
        </w:rPr>
        <w:t>ust</w:t>
      </w:r>
      <w:r w:rsidR="00B0080E" w:rsidRPr="00942689">
        <w:rPr>
          <w:rFonts w:ascii="Times New Roman" w:hAnsi="Times New Roman" w:cs="Times New Roman"/>
        </w:rPr>
        <w:t xml:space="preserve"> be kept on campus.</w:t>
      </w:r>
      <w:r>
        <w:rPr>
          <w:rFonts w:ascii="Times New Roman" w:hAnsi="Times New Roman" w:cs="Times New Roman"/>
        </w:rPr>
        <w:t>]</w:t>
      </w:r>
      <w:r w:rsidR="001160DF" w:rsidRPr="00942689">
        <w:rPr>
          <w:rFonts w:ascii="Times New Roman" w:hAnsi="Times New Roman" w:cs="Times New Roman"/>
        </w:rPr>
        <w:t xml:space="preserve"> </w:t>
      </w:r>
    </w:p>
    <w:p w14:paraId="6D38AD1A" w14:textId="45F44ADA" w:rsidR="00391FC4" w:rsidRPr="00942689" w:rsidRDefault="00942689" w:rsidP="00EE22C7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8604A" wp14:editId="78586ED4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9525" cy="171450"/>
                <wp:effectExtent l="76200" t="0" r="66675" b="57150"/>
                <wp:wrapNone/>
                <wp:docPr id="24243992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CF6C1" id="Straight Arrow Connector 2" o:spid="_x0000_s1026" type="#_x0000_t32" style="position:absolute;margin-left:-.75pt;margin-top:.7pt;width:.75pt;height:1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3255B2E3" w14:textId="23B62682" w:rsidR="00AC0129" w:rsidRPr="00942689" w:rsidRDefault="0048479A" w:rsidP="00AC01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r</w:t>
      </w:r>
      <w:r w:rsidR="00391FC4" w:rsidRPr="00942689">
        <w:rPr>
          <w:rFonts w:ascii="Times New Roman" w:hAnsi="Times New Roman" w:cs="Times New Roman"/>
        </w:rPr>
        <w:t xml:space="preserve">emaining clothing </w:t>
      </w:r>
      <w:r w:rsidR="00511911" w:rsidRPr="00942689">
        <w:rPr>
          <w:rFonts w:ascii="Times New Roman" w:hAnsi="Times New Roman" w:cs="Times New Roman"/>
        </w:rPr>
        <w:t>should</w:t>
      </w:r>
      <w:r w:rsidR="00391FC4" w:rsidRPr="00942689">
        <w:rPr>
          <w:rFonts w:ascii="Times New Roman" w:hAnsi="Times New Roman" w:cs="Times New Roman"/>
        </w:rPr>
        <w:t xml:space="preserve"> be taxed to the employees at the fair market value </w:t>
      </w:r>
      <w:r w:rsidR="00B44790" w:rsidRPr="00942689">
        <w:rPr>
          <w:rFonts w:ascii="Times New Roman" w:hAnsi="Times New Roman" w:cs="Times New Roman"/>
        </w:rPr>
        <w:t>(FMV)</w:t>
      </w:r>
      <w:r w:rsidR="00511911" w:rsidRPr="00942689">
        <w:rPr>
          <w:rFonts w:ascii="Times New Roman" w:hAnsi="Times New Roman" w:cs="Times New Roman"/>
        </w:rPr>
        <w:t xml:space="preserve">. </w:t>
      </w:r>
    </w:p>
    <w:p w14:paraId="501E031C" w14:textId="77777777" w:rsidR="00663BA6" w:rsidRDefault="00663BA6" w:rsidP="00197D36">
      <w:pPr>
        <w:spacing w:after="0"/>
        <w:rPr>
          <w:rFonts w:ascii="Times New Roman" w:hAnsi="Times New Roman" w:cs="Times New Roman"/>
          <w:b/>
        </w:rPr>
      </w:pPr>
    </w:p>
    <w:p w14:paraId="6B439D23" w14:textId="452E7097" w:rsidR="00A91E6D" w:rsidRPr="00942689" w:rsidRDefault="00A91E6D" w:rsidP="00197D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you have any questions or wish to discuss, please contact the tax team at taxreporting@umich.edu.</w:t>
      </w:r>
    </w:p>
    <w:sectPr w:rsidR="00A91E6D" w:rsidRPr="009426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9623" w14:textId="77777777" w:rsidR="006959AB" w:rsidRDefault="006959AB" w:rsidP="00DD7763">
      <w:pPr>
        <w:spacing w:after="0" w:line="240" w:lineRule="auto"/>
      </w:pPr>
      <w:r>
        <w:separator/>
      </w:r>
    </w:p>
  </w:endnote>
  <w:endnote w:type="continuationSeparator" w:id="0">
    <w:p w14:paraId="6BD753C8" w14:textId="77777777" w:rsidR="006959AB" w:rsidRDefault="006959AB" w:rsidP="00DD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49E1" w14:textId="77777777" w:rsidR="006959AB" w:rsidRDefault="006959AB" w:rsidP="00DD7763">
      <w:pPr>
        <w:spacing w:after="0" w:line="240" w:lineRule="auto"/>
      </w:pPr>
      <w:r>
        <w:separator/>
      </w:r>
    </w:p>
  </w:footnote>
  <w:footnote w:type="continuationSeparator" w:id="0">
    <w:p w14:paraId="01AD8A51" w14:textId="77777777" w:rsidR="006959AB" w:rsidRDefault="006959AB" w:rsidP="00DD7763">
      <w:pPr>
        <w:spacing w:after="0" w:line="240" w:lineRule="auto"/>
      </w:pPr>
      <w:r>
        <w:continuationSeparator/>
      </w:r>
    </w:p>
  </w:footnote>
  <w:footnote w:id="1">
    <w:p w14:paraId="218206AD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Drill v. Commissioner</w:t>
      </w:r>
      <w:r>
        <w:t xml:space="preserve">, 8 T.C. 902 (1947); </w:t>
      </w:r>
      <w:r w:rsidRPr="00DD7763">
        <w:rPr>
          <w:u w:val="single"/>
        </w:rPr>
        <w:t>Yeomans v. Commissioner</w:t>
      </w:r>
      <w:r>
        <w:t>, 30 T.C. 757 (1958); Rev. Rul. 70-474, 1970-2 C.B. 34.</w:t>
      </w:r>
    </w:p>
  </w:footnote>
  <w:footnote w:id="2">
    <w:p w14:paraId="1446D3B9" w14:textId="0EB3F83D" w:rsidR="002D71EA" w:rsidRDefault="002D71EA">
      <w:pPr>
        <w:pStyle w:val="FootnoteText"/>
      </w:pPr>
      <w:r>
        <w:rPr>
          <w:rStyle w:val="FootnoteReference"/>
        </w:rPr>
        <w:footnoteRef/>
      </w:r>
      <w:r w:rsidR="00942689">
        <w:t xml:space="preserve"> The de minimis exception under</w:t>
      </w:r>
      <w:r>
        <w:t xml:space="preserve"> Internal Revenue Code (IRC) Section 132(e). </w:t>
      </w:r>
    </w:p>
  </w:footnote>
  <w:footnote w:id="3">
    <w:p w14:paraId="7C350E82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Connelly v. Commissioner</w:t>
      </w:r>
      <w:r>
        <w:t>, 262 F.2d 411 (2d Cir. 1959).</w:t>
      </w:r>
    </w:p>
  </w:footnote>
  <w:footnote w:id="4">
    <w:p w14:paraId="1A7A9B2C" w14:textId="77777777" w:rsidR="00DD7763" w:rsidRDefault="00DD77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7763">
        <w:rPr>
          <w:u w:val="single"/>
        </w:rPr>
        <w:t>Drill,</w:t>
      </w:r>
      <w:r>
        <w:t xml:space="preserve"> supra</w:t>
      </w:r>
      <w:r w:rsidR="00134474">
        <w:t>, note 2</w:t>
      </w:r>
      <w:r>
        <w:t>.</w:t>
      </w:r>
    </w:p>
  </w:footnote>
  <w:footnote w:id="5">
    <w:p w14:paraId="6C9FA9E5" w14:textId="77777777" w:rsidR="004765AF" w:rsidRDefault="00476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65AF">
        <w:rPr>
          <w:u w:val="single"/>
        </w:rPr>
        <w:t>Nilson v. Commissioner</w:t>
      </w:r>
      <w:r>
        <w:t xml:space="preserve">, T.C. Memo. 1983-718; </w:t>
      </w:r>
      <w:r w:rsidRPr="004765AF">
        <w:rPr>
          <w:u w:val="single"/>
        </w:rPr>
        <w:t>Fausner v. Commission</w:t>
      </w:r>
      <w:r>
        <w:t>, T.C. Memo. 1971-277.</w:t>
      </w:r>
    </w:p>
  </w:footnote>
  <w:footnote w:id="6">
    <w:p w14:paraId="444597E6" w14:textId="77777777" w:rsidR="005D6519" w:rsidRDefault="005D6519">
      <w:pPr>
        <w:pStyle w:val="FootnoteText"/>
      </w:pPr>
      <w:r>
        <w:rPr>
          <w:rStyle w:val="FootnoteReference"/>
        </w:rPr>
        <w:footnoteRef/>
      </w:r>
      <w:r>
        <w:t xml:space="preserve"> Pevsner v. Commissioner, 628 F. 2d 467 (5</w:t>
      </w:r>
      <w:r w:rsidRPr="005D6519">
        <w:rPr>
          <w:vertAlign w:val="superscript"/>
        </w:rPr>
        <w:t>th</w:t>
      </w:r>
      <w:r>
        <w:t xml:space="preserve"> Cir. 1980).</w:t>
      </w:r>
    </w:p>
  </w:footnote>
  <w:footnote w:id="7">
    <w:p w14:paraId="3CE12700" w14:textId="7407BC60" w:rsidR="00511911" w:rsidRDefault="00511911">
      <w:pPr>
        <w:pStyle w:val="FootnoteText"/>
      </w:pPr>
      <w:r>
        <w:rPr>
          <w:rStyle w:val="FootnoteReference"/>
        </w:rPr>
        <w:footnoteRef/>
      </w:r>
      <w:r w:rsidR="00FF680B">
        <w:t xml:space="preserve"> Computer sleeves, </w:t>
      </w:r>
      <w:r>
        <w:t>backpacks and duffle bags</w:t>
      </w:r>
      <w:r w:rsidR="00096252">
        <w:t xml:space="preserve"> with U-M logos</w:t>
      </w:r>
      <w:r w:rsidR="00942689">
        <w:t xml:space="preserve"> so long as they are used primarily for business purposes as supported by an internal policy or other similar documentation</w:t>
      </w:r>
      <w: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8350" w14:textId="19F25128" w:rsidR="00DD7763" w:rsidRDefault="00DD7763">
    <w:pPr>
      <w:pStyle w:val="Header"/>
    </w:pPr>
    <w:r>
      <w:t>Memo on the Taxation of Clothing</w:t>
    </w:r>
    <w:r>
      <w:tab/>
    </w:r>
    <w:r w:rsidR="000726C2">
      <w:t>U-M and Affiliates</w:t>
    </w:r>
    <w:r>
      <w:tab/>
    </w:r>
    <w:r w:rsidR="00B0080E">
      <w:t xml:space="preserve">FYE </w:t>
    </w:r>
    <w:r w:rsidR="00942689">
      <w:t>2023</w:t>
    </w:r>
  </w:p>
  <w:p w14:paraId="46AB9610" w14:textId="77777777" w:rsidR="00DD7763" w:rsidRDefault="00DD7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3D91"/>
    <w:multiLevelType w:val="hybridMultilevel"/>
    <w:tmpl w:val="56DA61EC"/>
    <w:lvl w:ilvl="0" w:tplc="3BB62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1E42"/>
    <w:multiLevelType w:val="hybridMultilevel"/>
    <w:tmpl w:val="DD48A85C"/>
    <w:lvl w:ilvl="0" w:tplc="B8C6F7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703218">
    <w:abstractNumId w:val="0"/>
  </w:num>
  <w:num w:numId="2" w16cid:durableId="57227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E7"/>
    <w:rsid w:val="000726C2"/>
    <w:rsid w:val="0007501F"/>
    <w:rsid w:val="000910AB"/>
    <w:rsid w:val="00096252"/>
    <w:rsid w:val="000D4FD1"/>
    <w:rsid w:val="000F3E8F"/>
    <w:rsid w:val="001160DF"/>
    <w:rsid w:val="001233AF"/>
    <w:rsid w:val="00132732"/>
    <w:rsid w:val="00134474"/>
    <w:rsid w:val="00197004"/>
    <w:rsid w:val="00197D36"/>
    <w:rsid w:val="001C2033"/>
    <w:rsid w:val="001F3B57"/>
    <w:rsid w:val="002D71EA"/>
    <w:rsid w:val="00390BAE"/>
    <w:rsid w:val="00391FC4"/>
    <w:rsid w:val="004765AF"/>
    <w:rsid w:val="0048479A"/>
    <w:rsid w:val="004E55E5"/>
    <w:rsid w:val="00511911"/>
    <w:rsid w:val="00514518"/>
    <w:rsid w:val="00514975"/>
    <w:rsid w:val="005A1042"/>
    <w:rsid w:val="005B0FE7"/>
    <w:rsid w:val="005D6519"/>
    <w:rsid w:val="00663BA6"/>
    <w:rsid w:val="00666326"/>
    <w:rsid w:val="00681BEA"/>
    <w:rsid w:val="006959AB"/>
    <w:rsid w:val="006A4194"/>
    <w:rsid w:val="006A5AB3"/>
    <w:rsid w:val="006A7414"/>
    <w:rsid w:val="006B1A2C"/>
    <w:rsid w:val="006C3855"/>
    <w:rsid w:val="006D5358"/>
    <w:rsid w:val="006D5DF5"/>
    <w:rsid w:val="00717A97"/>
    <w:rsid w:val="0074759C"/>
    <w:rsid w:val="008876AD"/>
    <w:rsid w:val="008E34ED"/>
    <w:rsid w:val="00922530"/>
    <w:rsid w:val="00942689"/>
    <w:rsid w:val="00970E8F"/>
    <w:rsid w:val="00A30621"/>
    <w:rsid w:val="00A91E6D"/>
    <w:rsid w:val="00AC0129"/>
    <w:rsid w:val="00B0080E"/>
    <w:rsid w:val="00B44790"/>
    <w:rsid w:val="00BA34B0"/>
    <w:rsid w:val="00C16323"/>
    <w:rsid w:val="00DA7278"/>
    <w:rsid w:val="00DD7763"/>
    <w:rsid w:val="00EE22C7"/>
    <w:rsid w:val="00F2509F"/>
    <w:rsid w:val="00F51412"/>
    <w:rsid w:val="00FE601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A72F9"/>
  <w15:docId w15:val="{E2D67F67-33B0-4172-8479-2742C37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0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7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7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7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763"/>
  </w:style>
  <w:style w:type="paragraph" w:styleId="Footer">
    <w:name w:val="footer"/>
    <w:basedOn w:val="Normal"/>
    <w:link w:val="FooterChar"/>
    <w:uiPriority w:val="99"/>
    <w:unhideWhenUsed/>
    <w:rsid w:val="00DD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763"/>
  </w:style>
  <w:style w:type="table" w:styleId="TableGrid">
    <w:name w:val="Table Grid"/>
    <w:basedOn w:val="TableNormal"/>
    <w:uiPriority w:val="59"/>
    <w:rsid w:val="00B4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E9E9-2B3E-4629-99F9-A7521885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ejenning</dc:creator>
  <cp:lastModifiedBy>Ed Jennings</cp:lastModifiedBy>
  <cp:revision>2</cp:revision>
  <dcterms:created xsi:type="dcterms:W3CDTF">2025-01-06T15:02:00Z</dcterms:created>
  <dcterms:modified xsi:type="dcterms:W3CDTF">2025-01-06T15:02:00Z</dcterms:modified>
</cp:coreProperties>
</file>